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071A3" w14:textId="4F06D813" w:rsidR="00DE5ECF" w:rsidRPr="00756011" w:rsidRDefault="00DE5ECF">
      <w:pPr>
        <w:rPr>
          <w:rFonts w:ascii="Times New Roman" w:hAnsi="Times New Roman" w:cs="Times New Roman"/>
          <w:b/>
          <w:bCs/>
          <w:color w:val="212121"/>
          <w:sz w:val="32"/>
          <w:szCs w:val="32"/>
        </w:rPr>
      </w:pPr>
      <w:r w:rsidRPr="00756011">
        <w:rPr>
          <w:rFonts w:ascii="Times New Roman" w:hAnsi="Times New Roman" w:cs="Times New Roman"/>
          <w:b/>
          <w:bCs/>
          <w:color w:val="212121"/>
          <w:sz w:val="32"/>
          <w:szCs w:val="32"/>
        </w:rPr>
        <w:t>Indigenous Data Governance and research ethics in Australia</w:t>
      </w:r>
    </w:p>
    <w:p w14:paraId="115BBE47" w14:textId="77777777" w:rsidR="00034DB3" w:rsidRPr="00CF5731" w:rsidRDefault="00034DB3">
      <w:pPr>
        <w:rPr>
          <w:rFonts w:ascii="Times New Roman" w:hAnsi="Times New Roman" w:cs="Times New Roman"/>
          <w:color w:val="212121"/>
        </w:rPr>
      </w:pPr>
    </w:p>
    <w:p w14:paraId="72C91458" w14:textId="4705B265" w:rsidR="00034DB3" w:rsidRPr="00CF5731" w:rsidRDefault="00034DB3">
      <w:pPr>
        <w:rPr>
          <w:rFonts w:ascii="Times New Roman" w:hAnsi="Times New Roman" w:cs="Times New Roman"/>
          <w:b/>
          <w:bCs/>
          <w:color w:val="212121"/>
        </w:rPr>
      </w:pPr>
      <w:r w:rsidRPr="00CF5731">
        <w:rPr>
          <w:rFonts w:ascii="Times New Roman" w:hAnsi="Times New Roman" w:cs="Times New Roman"/>
          <w:b/>
          <w:bCs/>
          <w:color w:val="212121"/>
        </w:rPr>
        <w:t>Abstract</w:t>
      </w:r>
    </w:p>
    <w:p w14:paraId="09877DB2" w14:textId="5F81ED00" w:rsidR="00034DB3" w:rsidRPr="00756011" w:rsidRDefault="00034DB3" w:rsidP="00756011">
      <w:pPr>
        <w:spacing w:before="120" w:after="120"/>
        <w:rPr>
          <w:rFonts w:ascii="Times New Roman" w:hAnsi="Times New Roman" w:cs="Times New Roman"/>
        </w:rPr>
      </w:pPr>
      <w:r w:rsidRPr="00CF5731">
        <w:rPr>
          <w:rFonts w:ascii="Times New Roman" w:hAnsi="Times New Roman" w:cs="Times New Roman"/>
        </w:rPr>
        <w:t>This talk explores the question: What is Indigenous Data, and why does it matter? Indigenous data encompasses information relating to Indigenous peoples, their communities, lands, and knowledges — from health and education to cultural heritage and environmental stewardship. At its core, Indigenous Data Governance ensures that Indigenous peoples control and manage data about themselves, that data practices respect culture and knowledge, and that information is used for collective benefit. Grounded in Indigenous Data Sovereignty, this approach safeguards self-determination, prevents misuse, and builds trust between researchers and communities. The talk will also examine how the CARE Principles (Collective benefit, Authority to control, Responsibility, and Ethics) complement the FAIR Principles of open science, creating a framework for culturally grounded, ethical, and transparent research. Ultimately, it asks how researchers and institutions can move beyond compliance to true accountability and partnership in data stewardship.</w:t>
      </w:r>
    </w:p>
    <w:p w14:paraId="4CF0874D" w14:textId="4AD2FC29" w:rsidR="00F16E09" w:rsidRPr="00CF5731" w:rsidRDefault="00F16E09">
      <w:pPr>
        <w:rPr>
          <w:rFonts w:ascii="Times New Roman" w:hAnsi="Times New Roman" w:cs="Times New Roman"/>
          <w:color w:val="212121"/>
        </w:rPr>
      </w:pPr>
    </w:p>
    <w:tbl>
      <w:tblPr>
        <w:tblStyle w:val="TableGrid"/>
        <w:tblW w:w="0" w:type="auto"/>
        <w:tblLook w:val="04A0" w:firstRow="1" w:lastRow="0" w:firstColumn="1" w:lastColumn="0" w:noHBand="0" w:noVBand="1"/>
      </w:tblPr>
      <w:tblGrid>
        <w:gridCol w:w="1413"/>
        <w:gridCol w:w="7603"/>
      </w:tblGrid>
      <w:tr w:rsidR="00F16E09" w:rsidRPr="00CF5731" w14:paraId="78E01509" w14:textId="77777777" w:rsidTr="00F16E09">
        <w:tc>
          <w:tcPr>
            <w:tcW w:w="1413" w:type="dxa"/>
          </w:tcPr>
          <w:p w14:paraId="2CAB9290" w14:textId="15CF5EA7" w:rsidR="00F16E09" w:rsidRPr="00CF5731" w:rsidRDefault="00F16E09" w:rsidP="00556822">
            <w:pPr>
              <w:spacing w:before="120" w:after="120"/>
              <w:rPr>
                <w:rFonts w:ascii="Times New Roman" w:hAnsi="Times New Roman" w:cs="Times New Roman"/>
                <w:color w:val="212121"/>
              </w:rPr>
            </w:pPr>
            <w:r w:rsidRPr="00CF5731">
              <w:rPr>
                <w:rFonts w:ascii="Times New Roman" w:hAnsi="Times New Roman" w:cs="Times New Roman"/>
                <w:color w:val="212121"/>
              </w:rPr>
              <w:t>Slide 1</w:t>
            </w:r>
            <w:r w:rsidR="007F5E56">
              <w:rPr>
                <w:rFonts w:ascii="Times New Roman" w:hAnsi="Times New Roman" w:cs="Times New Roman"/>
                <w:color w:val="212121"/>
              </w:rPr>
              <w:t>&amp; 2</w:t>
            </w:r>
          </w:p>
          <w:p w14:paraId="4D2261E6" w14:textId="799F25C1" w:rsidR="001B6B45" w:rsidRPr="00AA6EA6" w:rsidRDefault="005C003E" w:rsidP="00556822">
            <w:pPr>
              <w:spacing w:before="120" w:after="120"/>
              <w:outlineLvl w:val="3"/>
              <w:rPr>
                <w:rFonts w:ascii="Times New Roman" w:eastAsia="Times New Roman" w:hAnsi="Times New Roman" w:cs="Times New Roman"/>
                <w:kern w:val="0"/>
                <w:lang w:eastAsia="en-GB"/>
                <w14:ligatures w14:val="none"/>
              </w:rPr>
            </w:pPr>
            <w:r w:rsidRPr="00CF5731">
              <w:rPr>
                <w:rFonts w:ascii="Times New Roman" w:eastAsia="Times New Roman" w:hAnsi="Times New Roman" w:cs="Times New Roman"/>
                <w:kern w:val="0"/>
                <w:lang w:eastAsia="en-GB"/>
                <w14:ligatures w14:val="none"/>
              </w:rPr>
              <w:t>1</w:t>
            </w:r>
            <w:r w:rsidR="001B6B45" w:rsidRPr="00AA6EA6">
              <w:rPr>
                <w:rFonts w:ascii="Times New Roman" w:eastAsia="Times New Roman" w:hAnsi="Times New Roman" w:cs="Times New Roman"/>
                <w:kern w:val="0"/>
                <w:lang w:eastAsia="en-GB"/>
                <w14:ligatures w14:val="none"/>
              </w:rPr>
              <w:t>–</w:t>
            </w:r>
            <w:r w:rsidRPr="00CF5731">
              <w:rPr>
                <w:rFonts w:ascii="Times New Roman" w:eastAsia="Times New Roman" w:hAnsi="Times New Roman" w:cs="Times New Roman"/>
                <w:kern w:val="0"/>
                <w:lang w:eastAsia="en-GB"/>
                <w14:ligatures w14:val="none"/>
              </w:rPr>
              <w:t>2</w:t>
            </w:r>
            <w:r w:rsidR="001B6B45" w:rsidRPr="00AA6EA6">
              <w:rPr>
                <w:rFonts w:ascii="Times New Roman" w:eastAsia="Times New Roman" w:hAnsi="Times New Roman" w:cs="Times New Roman"/>
                <w:kern w:val="0"/>
                <w:lang w:eastAsia="en-GB"/>
                <w14:ligatures w14:val="none"/>
              </w:rPr>
              <w:t xml:space="preserve"> min</w:t>
            </w:r>
            <w:r w:rsidRPr="00CF5731">
              <w:rPr>
                <w:rFonts w:ascii="Times New Roman" w:eastAsia="Times New Roman" w:hAnsi="Times New Roman" w:cs="Times New Roman"/>
                <w:kern w:val="0"/>
                <w:lang w:eastAsia="en-GB"/>
                <w14:ligatures w14:val="none"/>
              </w:rPr>
              <w:t>s</w:t>
            </w:r>
          </w:p>
          <w:p w14:paraId="253036F8" w14:textId="3179FBFD" w:rsidR="001B6B45" w:rsidRPr="00CF5731" w:rsidRDefault="001B6B45" w:rsidP="00556822">
            <w:pPr>
              <w:spacing w:before="120" w:after="120"/>
              <w:rPr>
                <w:rFonts w:ascii="Times New Roman" w:hAnsi="Times New Roman" w:cs="Times New Roman"/>
                <w:color w:val="212121"/>
              </w:rPr>
            </w:pPr>
          </w:p>
        </w:tc>
        <w:tc>
          <w:tcPr>
            <w:tcW w:w="7603" w:type="dxa"/>
          </w:tcPr>
          <w:p w14:paraId="1ADBE565" w14:textId="0C133B3F" w:rsidR="00F86C6A" w:rsidRPr="00741B6B" w:rsidRDefault="00371AF9" w:rsidP="00904E18">
            <w:pPr>
              <w:spacing w:before="120" w:after="120"/>
              <w:rPr>
                <w:rFonts w:ascii="Times New Roman" w:hAnsi="Times New Roman" w:cs="Times New Roman"/>
              </w:rPr>
            </w:pPr>
            <w:r w:rsidRPr="00741B6B">
              <w:rPr>
                <w:rFonts w:ascii="Times New Roman" w:hAnsi="Times New Roman" w:cs="Times New Roman"/>
              </w:rPr>
              <w:t>Acknowledgement of Country.</w:t>
            </w:r>
          </w:p>
          <w:p w14:paraId="78937070" w14:textId="7CFBAB5E" w:rsidR="00F86C6A" w:rsidRPr="00741B6B" w:rsidRDefault="00D07BB2" w:rsidP="00904E18">
            <w:pPr>
              <w:spacing w:before="120" w:after="120"/>
              <w:rPr>
                <w:rFonts w:ascii="Times New Roman" w:hAnsi="Times New Roman" w:cs="Times New Roman"/>
              </w:rPr>
            </w:pPr>
            <w:r w:rsidRPr="00741B6B">
              <w:rPr>
                <w:rFonts w:ascii="Times New Roman" w:hAnsi="Times New Roman" w:cs="Times New Roman"/>
              </w:rPr>
              <w:t xml:space="preserve">In Australia </w:t>
            </w:r>
            <w:r w:rsidR="00787E0C" w:rsidRPr="00741B6B">
              <w:rPr>
                <w:rFonts w:ascii="Times New Roman" w:hAnsi="Times New Roman" w:cs="Times New Roman"/>
              </w:rPr>
              <w:t>w</w:t>
            </w:r>
            <w:r w:rsidR="00F86C6A" w:rsidRPr="00741B6B">
              <w:rPr>
                <w:rFonts w:ascii="Times New Roman" w:hAnsi="Times New Roman" w:cs="Times New Roman"/>
              </w:rPr>
              <w:t>hen we begin with an Acknowledgement of Country, we do more than follow a protocol — we recognise that we stand on lands that have been cared for by Aboriginal and Torres Strait Islander peoples for tens of thousands of years.</w:t>
            </w:r>
          </w:p>
          <w:p w14:paraId="4B4D6CFA" w14:textId="0CEDB38E" w:rsidR="00F86C6A" w:rsidRPr="00741B6B" w:rsidRDefault="00F86C6A" w:rsidP="00904E18">
            <w:pPr>
              <w:spacing w:before="120" w:after="120"/>
              <w:rPr>
                <w:rFonts w:ascii="Times New Roman" w:hAnsi="Times New Roman" w:cs="Times New Roman"/>
              </w:rPr>
            </w:pPr>
            <w:r w:rsidRPr="00741B6B">
              <w:rPr>
                <w:rFonts w:ascii="Times New Roman" w:hAnsi="Times New Roman" w:cs="Times New Roman"/>
              </w:rPr>
              <w:t>It’s a moment to honour the Traditional Custodians</w:t>
            </w:r>
            <w:r w:rsidR="00787E0C" w:rsidRPr="00741B6B">
              <w:rPr>
                <w:rFonts w:ascii="Times New Roman" w:hAnsi="Times New Roman" w:cs="Times New Roman"/>
              </w:rPr>
              <w:t xml:space="preserve">, </w:t>
            </w:r>
            <w:r w:rsidRPr="00741B6B">
              <w:rPr>
                <w:rFonts w:ascii="Times New Roman" w:hAnsi="Times New Roman" w:cs="Times New Roman"/>
              </w:rPr>
              <w:t>their deep connection to land, waters, and culture and to pay respect to Elders past and present.</w:t>
            </w:r>
          </w:p>
          <w:p w14:paraId="745A890F" w14:textId="77777777" w:rsidR="00F86C6A" w:rsidRPr="00741B6B" w:rsidRDefault="00F86C6A" w:rsidP="00904E18">
            <w:pPr>
              <w:spacing w:before="120" w:after="120"/>
              <w:rPr>
                <w:rFonts w:ascii="Times New Roman" w:hAnsi="Times New Roman" w:cs="Times New Roman"/>
              </w:rPr>
            </w:pPr>
            <w:r w:rsidRPr="00741B6B">
              <w:rPr>
                <w:rFonts w:ascii="Times New Roman" w:hAnsi="Times New Roman" w:cs="Times New Roman"/>
              </w:rPr>
              <w:t>This acknowledgement reminds us that sovereignty was never ceded. It invites us to reflect on our shared history, and on the enduring strength, knowledge, and resilience of First Nations communities.</w:t>
            </w:r>
          </w:p>
          <w:p w14:paraId="637D2252" w14:textId="69C14F07" w:rsidR="00F86C6A" w:rsidRPr="00741B6B" w:rsidRDefault="00F86C6A" w:rsidP="00904E18">
            <w:pPr>
              <w:spacing w:before="120" w:after="120"/>
              <w:rPr>
                <w:rFonts w:ascii="Times New Roman" w:hAnsi="Times New Roman" w:cs="Times New Roman"/>
              </w:rPr>
            </w:pPr>
            <w:r w:rsidRPr="00741B6B">
              <w:rPr>
                <w:rFonts w:ascii="Times New Roman" w:hAnsi="Times New Roman" w:cs="Times New Roman"/>
              </w:rPr>
              <w:t>By acknowledging Country, we are also committing to respect, truth-telling, and reconciliation. It’s a small act, but one that helps ground our work in place, responsibility, and respect.</w:t>
            </w:r>
          </w:p>
          <w:p w14:paraId="3A795C82" w14:textId="77777777" w:rsidR="001D0E50" w:rsidRPr="00741B6B" w:rsidRDefault="00904E18" w:rsidP="00904E18">
            <w:pPr>
              <w:pStyle w:val="NormalWeb"/>
              <w:spacing w:before="120" w:beforeAutospacing="0" w:after="120" w:afterAutospacing="0"/>
              <w:rPr>
                <w:rFonts w:eastAsiaTheme="minorHAnsi"/>
                <w:i/>
                <w:iCs/>
                <w:kern w:val="2"/>
                <w:lang w:eastAsia="en-US"/>
                <w14:ligatures w14:val="standardContextual"/>
              </w:rPr>
            </w:pPr>
            <w:r w:rsidRPr="00741B6B">
              <w:rPr>
                <w:rFonts w:eastAsiaTheme="minorHAnsi"/>
                <w:kern w:val="2"/>
                <w:lang w:eastAsia="en-US"/>
                <w14:ligatures w14:val="standardContextual"/>
              </w:rPr>
              <w:t xml:space="preserve">This talk explores a central question: </w:t>
            </w:r>
            <w:r w:rsidRPr="00741B6B">
              <w:rPr>
                <w:rFonts w:eastAsiaTheme="minorHAnsi"/>
                <w:i/>
                <w:iCs/>
                <w:kern w:val="2"/>
                <w:lang w:eastAsia="en-US"/>
                <w14:ligatures w14:val="standardContextual"/>
              </w:rPr>
              <w:t>What is Indigenous Data, and why does it matter?</w:t>
            </w:r>
          </w:p>
          <w:p w14:paraId="5375C491" w14:textId="77777777" w:rsidR="00741B6B" w:rsidRPr="00741B6B" w:rsidRDefault="00904E18" w:rsidP="00741B6B">
            <w:pPr>
              <w:pStyle w:val="NormalWeb"/>
              <w:spacing w:before="0" w:beforeAutospacing="0" w:after="300" w:afterAutospacing="0"/>
            </w:pPr>
            <w:r w:rsidRPr="00741B6B">
              <w:rPr>
                <w:rFonts w:eastAsiaTheme="minorHAnsi"/>
                <w:kern w:val="2"/>
                <w:lang w:eastAsia="en-US"/>
                <w14:ligatures w14:val="standardContextual"/>
              </w:rPr>
              <w:br/>
            </w:r>
            <w:r w:rsidR="00741B6B" w:rsidRPr="00741B6B">
              <w:t>The Indigenous Data Network (IDN) defines Indigenous data as:</w:t>
            </w:r>
          </w:p>
          <w:p w14:paraId="6802DD0B" w14:textId="77777777" w:rsidR="00741B6B" w:rsidRPr="00741B6B" w:rsidRDefault="00741B6B" w:rsidP="00741B6B">
            <w:pPr>
              <w:pStyle w:val="NormalWeb"/>
              <w:spacing w:before="0" w:beforeAutospacing="0" w:after="0" w:afterAutospacing="0"/>
            </w:pPr>
            <w:r w:rsidRPr="00741B6B">
              <w:rPr>
                <w:rStyle w:val="Emphasis"/>
                <w:rFonts w:eastAsiaTheme="majorEastAsia"/>
              </w:rPr>
              <w:t>Data generated, intentionally or not, by, about, or for Aboriginal and Torres Strait Islander people. Indigenous data refers to information, in any format or medium, collected, analysed, stored, and interpreted within the context of Indigenous individuals, collectives, populations, entities, lifeways, cultures, knowledge systems, lands, biodiversity, water and other resources. It includes data collected, used, or stored by any agency, department, laboratory, organisation, corporation, statutory body, university or research institute, conducted by, with, and about Indigenous people or people, and data that Indigenous communities have generated and maintained themselves. (Indigenous Data Network, 2024)</w:t>
            </w:r>
          </w:p>
          <w:p w14:paraId="6D77FA59" w14:textId="47F73FCC" w:rsidR="00904E18" w:rsidRPr="00741B6B" w:rsidRDefault="00904E18" w:rsidP="00904E18">
            <w:pPr>
              <w:pStyle w:val="NormalWeb"/>
              <w:spacing w:before="120" w:beforeAutospacing="0" w:after="120" w:afterAutospacing="0"/>
              <w:rPr>
                <w:rFonts w:eastAsiaTheme="minorHAnsi"/>
                <w:kern w:val="2"/>
                <w:lang w:eastAsia="en-US"/>
                <w14:ligatures w14:val="standardContextual"/>
              </w:rPr>
            </w:pPr>
            <w:r w:rsidRPr="00741B6B">
              <w:rPr>
                <w:rFonts w:eastAsiaTheme="minorHAnsi"/>
                <w:i/>
                <w:iCs/>
                <w:kern w:val="2"/>
                <w:lang w:eastAsia="en-US"/>
                <w14:ligatures w14:val="standardContextual"/>
              </w:rPr>
              <w:lastRenderedPageBreak/>
              <w:t>How can researchers and institutions move beyond compliance to genuine accountability and partnership in data stewardship?</w:t>
            </w:r>
          </w:p>
          <w:p w14:paraId="019ED09F" w14:textId="5962D429" w:rsidR="00371AF9" w:rsidRPr="00741B6B" w:rsidRDefault="00B1411A" w:rsidP="00904E18">
            <w:pPr>
              <w:spacing w:before="120" w:after="120"/>
              <w:rPr>
                <w:rFonts w:ascii="Times New Roman" w:hAnsi="Times New Roman" w:cs="Times New Roman"/>
              </w:rPr>
            </w:pPr>
            <w:r w:rsidRPr="00741B6B">
              <w:rPr>
                <w:rFonts w:ascii="Times New Roman" w:hAnsi="Times New Roman" w:cs="Times New Roman"/>
              </w:rPr>
              <w:t>Our</w:t>
            </w:r>
            <w:r w:rsidR="00371AF9" w:rsidRPr="00741B6B">
              <w:rPr>
                <w:rFonts w:ascii="Times New Roman" w:hAnsi="Times New Roman" w:cs="Times New Roman"/>
              </w:rPr>
              <w:t xml:space="preserve"> talk</w:t>
            </w:r>
            <w:r w:rsidRPr="00741B6B">
              <w:rPr>
                <w:rFonts w:ascii="Times New Roman" w:hAnsi="Times New Roman" w:cs="Times New Roman"/>
              </w:rPr>
              <w:t xml:space="preserve"> today will cover</w:t>
            </w:r>
            <w:r w:rsidR="00371AF9" w:rsidRPr="00741B6B">
              <w:rPr>
                <w:rFonts w:ascii="Times New Roman" w:hAnsi="Times New Roman" w:cs="Times New Roman"/>
              </w:rPr>
              <w:t>:</w:t>
            </w:r>
          </w:p>
          <w:p w14:paraId="44B620FA" w14:textId="77777777" w:rsidR="00371AF9" w:rsidRPr="00741B6B" w:rsidRDefault="00371AF9" w:rsidP="00904E18">
            <w:pPr>
              <w:numPr>
                <w:ilvl w:val="1"/>
                <w:numId w:val="1"/>
              </w:numPr>
              <w:tabs>
                <w:tab w:val="clear" w:pos="1440"/>
              </w:tabs>
              <w:spacing w:before="120" w:after="120"/>
              <w:ind w:left="882"/>
              <w:rPr>
                <w:rFonts w:ascii="Times New Roman" w:hAnsi="Times New Roman" w:cs="Times New Roman"/>
              </w:rPr>
            </w:pPr>
            <w:r w:rsidRPr="00741B6B">
              <w:rPr>
                <w:rFonts w:ascii="Times New Roman" w:hAnsi="Times New Roman" w:cs="Times New Roman"/>
              </w:rPr>
              <w:t>What is Indigenous Data?</w:t>
            </w:r>
          </w:p>
          <w:p w14:paraId="1A1C0006" w14:textId="77777777" w:rsidR="00371AF9" w:rsidRPr="00741B6B" w:rsidRDefault="00371AF9" w:rsidP="00904E18">
            <w:pPr>
              <w:numPr>
                <w:ilvl w:val="1"/>
                <w:numId w:val="1"/>
              </w:numPr>
              <w:tabs>
                <w:tab w:val="clear" w:pos="1440"/>
              </w:tabs>
              <w:spacing w:before="120" w:after="120"/>
              <w:ind w:left="882"/>
              <w:rPr>
                <w:rFonts w:ascii="Times New Roman" w:hAnsi="Times New Roman" w:cs="Times New Roman"/>
              </w:rPr>
            </w:pPr>
            <w:r w:rsidRPr="00741B6B">
              <w:rPr>
                <w:rFonts w:ascii="Times New Roman" w:hAnsi="Times New Roman" w:cs="Times New Roman"/>
              </w:rPr>
              <w:t>Why it matters.</w:t>
            </w:r>
          </w:p>
          <w:p w14:paraId="3F39A605" w14:textId="77777777" w:rsidR="00371AF9" w:rsidRPr="00741B6B" w:rsidRDefault="00371AF9" w:rsidP="00904E18">
            <w:pPr>
              <w:numPr>
                <w:ilvl w:val="1"/>
                <w:numId w:val="1"/>
              </w:numPr>
              <w:tabs>
                <w:tab w:val="clear" w:pos="1440"/>
              </w:tabs>
              <w:spacing w:before="120" w:after="120"/>
              <w:ind w:left="882"/>
              <w:rPr>
                <w:rFonts w:ascii="Times New Roman" w:hAnsi="Times New Roman" w:cs="Times New Roman"/>
              </w:rPr>
            </w:pPr>
            <w:r w:rsidRPr="00741B6B">
              <w:rPr>
                <w:rFonts w:ascii="Times New Roman" w:hAnsi="Times New Roman" w:cs="Times New Roman"/>
              </w:rPr>
              <w:t>What Indigenous Data Governance looks like.</w:t>
            </w:r>
          </w:p>
          <w:p w14:paraId="21A2DE5E" w14:textId="77777777" w:rsidR="00371AF9" w:rsidRPr="00741B6B" w:rsidRDefault="00371AF9" w:rsidP="00904E18">
            <w:pPr>
              <w:numPr>
                <w:ilvl w:val="1"/>
                <w:numId w:val="1"/>
              </w:numPr>
              <w:tabs>
                <w:tab w:val="clear" w:pos="1440"/>
              </w:tabs>
              <w:spacing w:before="120" w:after="120"/>
              <w:ind w:left="882"/>
              <w:rPr>
                <w:rFonts w:ascii="Times New Roman" w:hAnsi="Times New Roman" w:cs="Times New Roman"/>
              </w:rPr>
            </w:pPr>
            <w:r w:rsidRPr="00741B6B">
              <w:rPr>
                <w:rFonts w:ascii="Times New Roman" w:hAnsi="Times New Roman" w:cs="Times New Roman"/>
              </w:rPr>
              <w:t>Ethics, sovereignty, and the CARE Principles.</w:t>
            </w:r>
          </w:p>
          <w:p w14:paraId="45B982EA" w14:textId="6C0B564A" w:rsidR="00F16E09" w:rsidRPr="00741B6B" w:rsidRDefault="00B1411A" w:rsidP="00904E18">
            <w:pPr>
              <w:numPr>
                <w:ilvl w:val="1"/>
                <w:numId w:val="1"/>
              </w:numPr>
              <w:tabs>
                <w:tab w:val="clear" w:pos="1440"/>
              </w:tabs>
              <w:spacing w:before="120" w:after="120"/>
              <w:ind w:left="882"/>
              <w:rPr>
                <w:rFonts w:ascii="Times New Roman" w:hAnsi="Times New Roman" w:cs="Times New Roman"/>
              </w:rPr>
            </w:pPr>
            <w:r w:rsidRPr="00741B6B">
              <w:rPr>
                <w:rFonts w:ascii="Times New Roman" w:hAnsi="Times New Roman" w:cs="Times New Roman"/>
              </w:rPr>
              <w:t>How to m</w:t>
            </w:r>
            <w:r w:rsidR="00371AF9" w:rsidRPr="00741B6B">
              <w:rPr>
                <w:rFonts w:ascii="Times New Roman" w:hAnsi="Times New Roman" w:cs="Times New Roman"/>
              </w:rPr>
              <w:t>ov</w:t>
            </w:r>
            <w:r w:rsidRPr="00741B6B">
              <w:rPr>
                <w:rFonts w:ascii="Times New Roman" w:hAnsi="Times New Roman" w:cs="Times New Roman"/>
              </w:rPr>
              <w:t>e</w:t>
            </w:r>
            <w:r w:rsidR="00371AF9" w:rsidRPr="00741B6B">
              <w:rPr>
                <w:rFonts w:ascii="Times New Roman" w:hAnsi="Times New Roman" w:cs="Times New Roman"/>
              </w:rPr>
              <w:t xml:space="preserve"> from compliance to accountability.</w:t>
            </w:r>
          </w:p>
        </w:tc>
      </w:tr>
      <w:tr w:rsidR="00F16E09" w:rsidRPr="00CF5731" w14:paraId="224F40ED" w14:textId="77777777" w:rsidTr="00F16E09">
        <w:tc>
          <w:tcPr>
            <w:tcW w:w="1413" w:type="dxa"/>
          </w:tcPr>
          <w:p w14:paraId="4793E5CB" w14:textId="6CC4BB2A" w:rsidR="00F16E09" w:rsidRPr="00CF5731" w:rsidRDefault="00F16E09" w:rsidP="00556822">
            <w:pPr>
              <w:spacing w:before="120" w:after="120"/>
              <w:rPr>
                <w:rFonts w:ascii="Times New Roman" w:hAnsi="Times New Roman" w:cs="Times New Roman"/>
                <w:color w:val="212121"/>
              </w:rPr>
            </w:pPr>
            <w:r w:rsidRPr="00CF5731">
              <w:rPr>
                <w:rFonts w:ascii="Times New Roman" w:hAnsi="Times New Roman" w:cs="Times New Roman"/>
                <w:color w:val="212121"/>
              </w:rPr>
              <w:lastRenderedPageBreak/>
              <w:t xml:space="preserve">Slide </w:t>
            </w:r>
            <w:r w:rsidR="007F5E56">
              <w:rPr>
                <w:rFonts w:ascii="Times New Roman" w:hAnsi="Times New Roman" w:cs="Times New Roman"/>
                <w:color w:val="212121"/>
              </w:rPr>
              <w:t>3</w:t>
            </w:r>
          </w:p>
        </w:tc>
        <w:tc>
          <w:tcPr>
            <w:tcW w:w="7603" w:type="dxa"/>
          </w:tcPr>
          <w:p w14:paraId="1A4E1D5A" w14:textId="77777777" w:rsidR="00870031" w:rsidRPr="00293109" w:rsidRDefault="00870031" w:rsidP="00293109">
            <w:pPr>
              <w:pStyle w:val="NormalWeb"/>
              <w:spacing w:before="120" w:beforeAutospacing="0" w:after="120" w:afterAutospacing="0"/>
            </w:pPr>
            <w:r w:rsidRPr="00293109">
              <w:t>Research in Australia operates within strong ethical and governance frameworks that protect participants, ensure integrity, and promote meaningful outcomes.</w:t>
            </w:r>
          </w:p>
          <w:p w14:paraId="64BE8AD0" w14:textId="2BAB2570" w:rsidR="00293109" w:rsidRPr="00293109" w:rsidRDefault="00293109" w:rsidP="00293109">
            <w:pPr>
              <w:pStyle w:val="NormalWeb"/>
              <w:shd w:val="clear" w:color="auto" w:fill="FFFFFF"/>
              <w:spacing w:before="120" w:beforeAutospacing="0" w:after="120" w:afterAutospacing="0"/>
              <w:rPr>
                <w:color w:val="212529"/>
              </w:rPr>
            </w:pPr>
            <w:r w:rsidRPr="00293109">
              <w:rPr>
                <w:color w:val="212529"/>
              </w:rPr>
              <w:t>In 2018, the A</w:t>
            </w:r>
            <w:r w:rsidR="007B4953">
              <w:rPr>
                <w:color w:val="212529"/>
              </w:rPr>
              <w:t xml:space="preserve">ustralian </w:t>
            </w:r>
            <w:r w:rsidRPr="00293109">
              <w:rPr>
                <w:color w:val="212529"/>
              </w:rPr>
              <w:t>R</w:t>
            </w:r>
            <w:r w:rsidR="007B4953">
              <w:rPr>
                <w:color w:val="212529"/>
              </w:rPr>
              <w:t xml:space="preserve">esearch </w:t>
            </w:r>
            <w:r w:rsidRPr="00293109">
              <w:rPr>
                <w:color w:val="212529"/>
              </w:rPr>
              <w:t>C</w:t>
            </w:r>
            <w:r w:rsidR="007B4953">
              <w:rPr>
                <w:color w:val="212529"/>
              </w:rPr>
              <w:t>ouncil</w:t>
            </w:r>
            <w:r w:rsidRPr="00293109">
              <w:rPr>
                <w:color w:val="212529"/>
              </w:rPr>
              <w:t>, National Health and Medical Research Council (NHMRC) and Universities Australia (the co-authors) issued the </w:t>
            </w:r>
            <w:hyperlink r:id="rId5" w:history="1">
              <w:r w:rsidRPr="00293109">
                <w:rPr>
                  <w:rStyle w:val="Emphasis"/>
                  <w:rFonts w:eastAsiaTheme="majorEastAsia"/>
                  <w:color w:val="005A7A"/>
                  <w:u w:val="single"/>
                </w:rPr>
                <w:t>Australian Code for the Responsible Conduct of Research 2018</w:t>
              </w:r>
            </w:hyperlink>
            <w:r w:rsidRPr="00293109">
              <w:rPr>
                <w:color w:val="212529"/>
              </w:rPr>
              <w:t> (the Code) and the </w:t>
            </w:r>
            <w:hyperlink r:id="rId6" w:history="1">
              <w:r w:rsidRPr="00293109">
                <w:rPr>
                  <w:rStyle w:val="Emphasis"/>
                  <w:rFonts w:eastAsiaTheme="majorEastAsia"/>
                  <w:color w:val="005A7A"/>
                  <w:u w:val="single"/>
                </w:rPr>
                <w:t>Guide to Managing and Investigating Potential Breaches of the Code</w:t>
              </w:r>
            </w:hyperlink>
            <w:r w:rsidRPr="00293109">
              <w:rPr>
                <w:color w:val="212529"/>
              </w:rPr>
              <w:t> (the Investigation Guide).</w:t>
            </w:r>
          </w:p>
          <w:p w14:paraId="75A4426B" w14:textId="28EA6E79" w:rsidR="00293109" w:rsidRPr="00293109" w:rsidRDefault="00293109" w:rsidP="00293109">
            <w:pPr>
              <w:pStyle w:val="NormalWeb"/>
              <w:shd w:val="clear" w:color="auto" w:fill="FFFFFF"/>
              <w:spacing w:before="120" w:beforeAutospacing="0" w:after="120" w:afterAutospacing="0"/>
              <w:rPr>
                <w:color w:val="212529"/>
              </w:rPr>
            </w:pPr>
            <w:r w:rsidRPr="00293109">
              <w:rPr>
                <w:color w:val="212529"/>
              </w:rPr>
              <w:t>The Code articulates the broad principles that characterise an honest, ethical and conscientious research culture. It outlines the expectations for the conduct of research in Australia or research conducted under the auspices of Australian institutions. The new Investigation Guide will assist institutions to manage, investigate and resolve complaints about potential breaches of the Code.</w:t>
            </w:r>
          </w:p>
          <w:p w14:paraId="41C8CA2E" w14:textId="77777777" w:rsidR="00870031" w:rsidRPr="00293109" w:rsidRDefault="00870031" w:rsidP="00293109">
            <w:pPr>
              <w:pStyle w:val="NormalWeb"/>
              <w:spacing w:before="120" w:beforeAutospacing="0" w:after="120" w:afterAutospacing="0"/>
            </w:pPr>
            <w:r w:rsidRPr="00293109">
              <w:t xml:space="preserve">At the national level, the </w:t>
            </w:r>
            <w:r w:rsidRPr="00293109">
              <w:rPr>
                <w:rStyle w:val="Strong"/>
                <w:rFonts w:eastAsiaTheme="majorEastAsia"/>
              </w:rPr>
              <w:t>National Health and Medical Research Council (NHMRC)</w:t>
            </w:r>
            <w:r w:rsidRPr="00293109">
              <w:t xml:space="preserve">, through its </w:t>
            </w:r>
            <w:r w:rsidRPr="00293109">
              <w:rPr>
                <w:rStyle w:val="Emphasis"/>
                <w:rFonts w:eastAsiaTheme="majorEastAsia"/>
              </w:rPr>
              <w:t>National Statement on Ethical Conduct in Human Research</w:t>
            </w:r>
            <w:r w:rsidRPr="00293109">
              <w:t>, sets the standard for consent, risk management, and participant protection.</w:t>
            </w:r>
          </w:p>
          <w:p w14:paraId="4F01214C" w14:textId="77777777" w:rsidR="00870031" w:rsidRPr="00293109" w:rsidRDefault="00870031" w:rsidP="00293109">
            <w:pPr>
              <w:pStyle w:val="NormalWeb"/>
              <w:spacing w:before="120" w:beforeAutospacing="0" w:after="120" w:afterAutospacing="0"/>
            </w:pPr>
            <w:r w:rsidRPr="00293109">
              <w:t>All research involving people requires approval from a Human Research Ethics Committee (HREC), which ensures that studies are safe, culturally sensitive, and ethically sound.</w:t>
            </w:r>
          </w:p>
          <w:p w14:paraId="79675199" w14:textId="77777777" w:rsidR="00870031" w:rsidRPr="00293109" w:rsidRDefault="00870031" w:rsidP="00293109">
            <w:pPr>
              <w:pStyle w:val="NormalWeb"/>
              <w:spacing w:before="120" w:beforeAutospacing="0" w:after="120" w:afterAutospacing="0"/>
            </w:pPr>
            <w:r w:rsidRPr="00293109">
              <w:t>When research involves Aboriginal and Torres Strait Islander peoples, additional layers of ethical responsibility apply. These emphasize respect, reciprocity, and self-determination — meaning communities are active partners in shaping research questions, methods, and outcomes.</w:t>
            </w:r>
          </w:p>
          <w:p w14:paraId="0BB2577E" w14:textId="77777777" w:rsidR="00870031" w:rsidRPr="00293109" w:rsidRDefault="00870031" w:rsidP="00293109">
            <w:pPr>
              <w:pStyle w:val="NormalWeb"/>
              <w:spacing w:before="120" w:beforeAutospacing="0" w:after="120" w:afterAutospacing="0"/>
            </w:pPr>
            <w:r w:rsidRPr="00293109">
              <w:t>In practice, this means researchers must collaborate closely with communities, seek both individual and collective consent, and ensure that research delivers tangible benefit.</w:t>
            </w:r>
          </w:p>
          <w:p w14:paraId="0FE36967" w14:textId="59EDD05E" w:rsidR="00423297" w:rsidRPr="00293109" w:rsidRDefault="00870031" w:rsidP="00293109">
            <w:pPr>
              <w:pStyle w:val="NormalWeb"/>
              <w:spacing w:before="120" w:beforeAutospacing="0" w:after="120" w:afterAutospacing="0"/>
            </w:pPr>
            <w:r w:rsidRPr="00293109">
              <w:t>With that ethical context in mind, let’s look more closely at the data itself — what do we mean by Indigenous Data, and why does it matter?</w:t>
            </w:r>
          </w:p>
        </w:tc>
      </w:tr>
      <w:tr w:rsidR="00F16E09" w:rsidRPr="00CF5731" w14:paraId="3CEA6837" w14:textId="77777777" w:rsidTr="00F16E09">
        <w:tc>
          <w:tcPr>
            <w:tcW w:w="1413" w:type="dxa"/>
          </w:tcPr>
          <w:p w14:paraId="557A99E4" w14:textId="29A44111" w:rsidR="00F16E09" w:rsidRPr="00CF5731" w:rsidRDefault="00F16E09" w:rsidP="00556822">
            <w:pPr>
              <w:spacing w:before="120" w:after="120"/>
              <w:rPr>
                <w:rFonts w:ascii="Times New Roman" w:hAnsi="Times New Roman" w:cs="Times New Roman"/>
                <w:color w:val="212121"/>
              </w:rPr>
            </w:pPr>
            <w:r w:rsidRPr="00CF5731">
              <w:rPr>
                <w:rFonts w:ascii="Times New Roman" w:hAnsi="Times New Roman" w:cs="Times New Roman"/>
                <w:color w:val="212121"/>
              </w:rPr>
              <w:t xml:space="preserve">Slide </w:t>
            </w:r>
            <w:r w:rsidR="002C5642">
              <w:rPr>
                <w:rFonts w:ascii="Times New Roman" w:hAnsi="Times New Roman" w:cs="Times New Roman"/>
                <w:color w:val="212121"/>
              </w:rPr>
              <w:t>4</w:t>
            </w:r>
          </w:p>
        </w:tc>
        <w:tc>
          <w:tcPr>
            <w:tcW w:w="7603" w:type="dxa"/>
          </w:tcPr>
          <w:p w14:paraId="586D1326" w14:textId="77777777" w:rsidR="00BA2364" w:rsidRDefault="00BA2364" w:rsidP="00BA2364">
            <w:pPr>
              <w:pStyle w:val="NormalWeb"/>
              <w:spacing w:before="120" w:beforeAutospacing="0" w:after="120" w:afterAutospacing="0"/>
            </w:pPr>
            <w:r>
              <w:t>Indigenous data refers to information about Indigenous peoples, communities, lands, and knowledges. It includes data on health, education, language, cultural heritage, environment, and governance.</w:t>
            </w:r>
          </w:p>
          <w:p w14:paraId="6B848B11" w14:textId="77777777" w:rsidR="00BA2364" w:rsidRDefault="00BA2364" w:rsidP="00BA2364">
            <w:pPr>
              <w:pStyle w:val="NormalWeb"/>
              <w:spacing w:before="120" w:beforeAutospacing="0" w:after="120" w:afterAutospacing="0"/>
            </w:pPr>
            <w:r>
              <w:lastRenderedPageBreak/>
              <w:t xml:space="preserve">This data can be generated by Indigenous communities themselves, by governments, or by researchers. But what defines it as </w:t>
            </w:r>
            <w:r>
              <w:rPr>
                <w:rStyle w:val="Emphasis"/>
                <w:rFonts w:eastAsiaTheme="majorEastAsia"/>
              </w:rPr>
              <w:t>Indigenous data</w:t>
            </w:r>
            <w:r>
              <w:t xml:space="preserve"> is not who collects it — it’s who it concerns, and who should have the right to control and interpret it.</w:t>
            </w:r>
          </w:p>
          <w:p w14:paraId="56D80B74" w14:textId="77777777" w:rsidR="00BA2364" w:rsidRDefault="00BA2364" w:rsidP="00BA2364">
            <w:pPr>
              <w:pStyle w:val="NormalWeb"/>
              <w:spacing w:before="120" w:beforeAutospacing="0" w:after="120" w:afterAutospacing="0"/>
            </w:pPr>
            <w:r>
              <w:t>Indigenous data represents far more than statistics — it reflects histories, identities, and relationships.</w:t>
            </w:r>
          </w:p>
          <w:p w14:paraId="5B6E98D7" w14:textId="23F5C622" w:rsidR="00423297" w:rsidRPr="00EF51BC" w:rsidRDefault="00BA2364" w:rsidP="00BA2364">
            <w:pPr>
              <w:pStyle w:val="NormalWeb"/>
              <w:spacing w:before="120" w:beforeAutospacing="0" w:after="120" w:afterAutospacing="0"/>
            </w:pPr>
            <w:r>
              <w:t>Its ethical management matters because it directly affects self-determination, cultural survival, and community well-being. When Indigenous peoples govern their own data, research becomes more accurate, respectful, and beneficial to community priorities.</w:t>
            </w:r>
          </w:p>
        </w:tc>
      </w:tr>
      <w:tr w:rsidR="00F16E09" w:rsidRPr="00CF5731" w14:paraId="0F6A4F3F" w14:textId="77777777" w:rsidTr="00F16E09">
        <w:tc>
          <w:tcPr>
            <w:tcW w:w="1413" w:type="dxa"/>
          </w:tcPr>
          <w:p w14:paraId="07ACE658" w14:textId="46772672" w:rsidR="00F16E09" w:rsidRPr="00CF5731" w:rsidRDefault="00F16E09" w:rsidP="00556822">
            <w:pPr>
              <w:spacing w:before="120" w:after="120"/>
              <w:rPr>
                <w:rFonts w:ascii="Times New Roman" w:hAnsi="Times New Roman" w:cs="Times New Roman"/>
                <w:color w:val="212121"/>
              </w:rPr>
            </w:pPr>
            <w:r w:rsidRPr="00CF5731">
              <w:rPr>
                <w:rFonts w:ascii="Times New Roman" w:hAnsi="Times New Roman" w:cs="Times New Roman"/>
                <w:color w:val="212121"/>
              </w:rPr>
              <w:lastRenderedPageBreak/>
              <w:t xml:space="preserve">Slide </w:t>
            </w:r>
            <w:r w:rsidR="001C644E">
              <w:rPr>
                <w:rFonts w:ascii="Times New Roman" w:hAnsi="Times New Roman" w:cs="Times New Roman"/>
                <w:color w:val="212121"/>
              </w:rPr>
              <w:t>5</w:t>
            </w:r>
          </w:p>
        </w:tc>
        <w:tc>
          <w:tcPr>
            <w:tcW w:w="7603" w:type="dxa"/>
          </w:tcPr>
          <w:p w14:paraId="6DAE4A4F" w14:textId="77777777" w:rsidR="0047773C" w:rsidRDefault="0047773C" w:rsidP="0047773C">
            <w:pPr>
              <w:pStyle w:val="NormalWeb"/>
              <w:spacing w:before="120" w:beforeAutospacing="0" w:after="120" w:afterAutospacing="0"/>
            </w:pPr>
            <w:r>
              <w:t>Indigenous Data Sovereignty is the right of Indigenous peoples to control the collection, access, use, and management of data about their communities, lands, and knowledge.</w:t>
            </w:r>
          </w:p>
          <w:p w14:paraId="5265A173" w14:textId="77777777" w:rsidR="0047773C" w:rsidRDefault="0047773C" w:rsidP="0047773C">
            <w:pPr>
              <w:pStyle w:val="NormalWeb"/>
              <w:spacing w:before="120" w:beforeAutospacing="0" w:after="120" w:afterAutospacing="0"/>
            </w:pPr>
            <w:r>
              <w:t>It recognizes that data is never neutral — it’s connected to culture, identity, and rights. IDS challenges traditional research practices that have often excluded or misrepresented Indigenous voices.</w:t>
            </w:r>
          </w:p>
          <w:p w14:paraId="1FEFA700" w14:textId="7DEF2173" w:rsidR="0047773C" w:rsidRDefault="00123C9A" w:rsidP="0047773C">
            <w:pPr>
              <w:pStyle w:val="NormalWeb"/>
              <w:spacing w:before="120" w:beforeAutospacing="0" w:after="120" w:afterAutospacing="0"/>
            </w:pPr>
            <w:r>
              <w:t>However, g</w:t>
            </w:r>
            <w:r w:rsidR="0047773C">
              <w:t xml:space="preserve">lobally, the IDS movement has grown rapidly over the past decade. Networks such as the </w:t>
            </w:r>
            <w:r w:rsidR="0047773C">
              <w:rPr>
                <w:rStyle w:val="Strong"/>
                <w:rFonts w:eastAsiaTheme="majorEastAsia"/>
              </w:rPr>
              <w:t>Global Indigenous Data Alliance (GIDA)</w:t>
            </w:r>
            <w:r w:rsidR="0047773C">
              <w:t xml:space="preserve"> promote Indigenous control of Indigenous data and provide international frameworks for good practice.</w:t>
            </w:r>
          </w:p>
          <w:p w14:paraId="47E665E5" w14:textId="77777777" w:rsidR="0047773C" w:rsidRDefault="0047773C" w:rsidP="0047773C">
            <w:pPr>
              <w:pStyle w:val="NormalWeb"/>
              <w:spacing w:before="120" w:beforeAutospacing="0" w:after="120" w:afterAutospacing="0"/>
            </w:pPr>
            <w:r>
              <w:t>IDS is especially relevant today because governments, researchers, and institutions rely increasingly on large datasets that include Indigenous information. Ethical, culturally grounded approaches ensure that data is used to benefit communities, not to exploit or misrepresent them.</w:t>
            </w:r>
          </w:p>
          <w:p w14:paraId="0F0D61B6" w14:textId="759098A0" w:rsidR="00534B2C" w:rsidRPr="0047773C" w:rsidRDefault="0047773C" w:rsidP="0047773C">
            <w:pPr>
              <w:pStyle w:val="NormalWeb"/>
              <w:spacing w:before="120" w:beforeAutospacing="0" w:after="120" w:afterAutospacing="0"/>
            </w:pPr>
            <w:r>
              <w:t xml:space="preserve">If Indigenous Data Sovereignty is the principle, then </w:t>
            </w:r>
            <w:r>
              <w:rPr>
                <w:rStyle w:val="Strong"/>
                <w:rFonts w:eastAsiaTheme="majorEastAsia"/>
              </w:rPr>
              <w:t>Indigenous Data Governance</w:t>
            </w:r>
            <w:r>
              <w:t xml:space="preserve"> is how we put that principle into action.</w:t>
            </w:r>
          </w:p>
        </w:tc>
      </w:tr>
      <w:tr w:rsidR="00F16E09" w:rsidRPr="00CF5731" w14:paraId="2430CFE8" w14:textId="77777777" w:rsidTr="00F16E09">
        <w:tc>
          <w:tcPr>
            <w:tcW w:w="1413" w:type="dxa"/>
          </w:tcPr>
          <w:p w14:paraId="55B6D131" w14:textId="6023E823" w:rsidR="00F16E09" w:rsidRPr="00CF5731" w:rsidRDefault="00F16E09" w:rsidP="00556822">
            <w:pPr>
              <w:spacing w:before="120" w:after="120"/>
              <w:rPr>
                <w:rFonts w:ascii="Times New Roman" w:hAnsi="Times New Roman" w:cs="Times New Roman"/>
                <w:color w:val="212121"/>
              </w:rPr>
            </w:pPr>
            <w:r w:rsidRPr="00CF5731">
              <w:rPr>
                <w:rFonts w:ascii="Times New Roman" w:hAnsi="Times New Roman" w:cs="Times New Roman"/>
                <w:color w:val="212121"/>
              </w:rPr>
              <w:t>Slide 6</w:t>
            </w:r>
          </w:p>
        </w:tc>
        <w:tc>
          <w:tcPr>
            <w:tcW w:w="7603" w:type="dxa"/>
          </w:tcPr>
          <w:p w14:paraId="188A9359" w14:textId="77777777" w:rsidR="00425357" w:rsidRDefault="00425357" w:rsidP="00425357">
            <w:pPr>
              <w:pStyle w:val="NormalWeb"/>
              <w:spacing w:before="120" w:beforeAutospacing="0" w:after="120" w:afterAutospacing="0"/>
            </w:pPr>
            <w:r>
              <w:t>Indigenous Data Governance ensures that data practices:</w:t>
            </w:r>
          </w:p>
          <w:p w14:paraId="17437096" w14:textId="77777777" w:rsidR="00425357" w:rsidRDefault="00425357" w:rsidP="00425357">
            <w:pPr>
              <w:pStyle w:val="NormalWeb"/>
              <w:numPr>
                <w:ilvl w:val="0"/>
                <w:numId w:val="11"/>
              </w:numPr>
              <w:spacing w:before="120" w:beforeAutospacing="0" w:after="120" w:afterAutospacing="0"/>
            </w:pPr>
            <w:r>
              <w:t>Are led and controlled by Indigenous communities</w:t>
            </w:r>
          </w:p>
          <w:p w14:paraId="1142E743" w14:textId="77777777" w:rsidR="00425357" w:rsidRDefault="00425357" w:rsidP="00425357">
            <w:pPr>
              <w:pStyle w:val="NormalWeb"/>
              <w:numPr>
                <w:ilvl w:val="0"/>
                <w:numId w:val="11"/>
              </w:numPr>
              <w:spacing w:before="120" w:beforeAutospacing="0" w:after="120" w:afterAutospacing="0"/>
            </w:pPr>
            <w:r>
              <w:t>Respect culture, knowledge, and traditions</w:t>
            </w:r>
          </w:p>
          <w:p w14:paraId="4EAEB4BB" w14:textId="77777777" w:rsidR="00425357" w:rsidRDefault="00425357" w:rsidP="00425357">
            <w:pPr>
              <w:pStyle w:val="NormalWeb"/>
              <w:numPr>
                <w:ilvl w:val="0"/>
                <w:numId w:val="11"/>
              </w:numPr>
              <w:spacing w:before="120" w:beforeAutospacing="0" w:after="120" w:afterAutospacing="0"/>
            </w:pPr>
            <w:r>
              <w:t>Are used for collective benefit, supporting community priorities</w:t>
            </w:r>
          </w:p>
          <w:p w14:paraId="1F58370A" w14:textId="77777777" w:rsidR="00425357" w:rsidRDefault="00425357" w:rsidP="00425357">
            <w:pPr>
              <w:pStyle w:val="NormalWeb"/>
              <w:numPr>
                <w:ilvl w:val="0"/>
                <w:numId w:val="11"/>
              </w:numPr>
              <w:spacing w:before="120" w:beforeAutospacing="0" w:after="120" w:afterAutospacing="0"/>
            </w:pPr>
            <w:r>
              <w:t>Require accountability from researchers and institutions</w:t>
            </w:r>
          </w:p>
          <w:p w14:paraId="16442A97" w14:textId="77777777" w:rsidR="00425357" w:rsidRDefault="00425357" w:rsidP="00425357">
            <w:pPr>
              <w:pStyle w:val="NormalWeb"/>
              <w:numPr>
                <w:ilvl w:val="0"/>
                <w:numId w:val="11"/>
              </w:numPr>
              <w:spacing w:before="120" w:beforeAutospacing="0" w:after="120" w:afterAutospacing="0"/>
            </w:pPr>
            <w:r>
              <w:t>Involve communities in all decisions about research design, data use, and dissemination</w:t>
            </w:r>
          </w:p>
          <w:p w14:paraId="50229FEC" w14:textId="77777777" w:rsidR="00425357" w:rsidRDefault="00425357" w:rsidP="00425357">
            <w:pPr>
              <w:pStyle w:val="NormalWeb"/>
              <w:spacing w:before="120" w:beforeAutospacing="0" w:after="120" w:afterAutospacing="0"/>
            </w:pPr>
            <w:r>
              <w:t>Governance protects self-determination, prevents misuse, and builds trust between researchers and Indigenous communities.</w:t>
            </w:r>
          </w:p>
          <w:p w14:paraId="5B5DFBFF" w14:textId="77777777" w:rsidR="00425357" w:rsidRDefault="00425357" w:rsidP="00425357">
            <w:pPr>
              <w:pStyle w:val="NormalWeb"/>
              <w:spacing w:before="120" w:beforeAutospacing="0" w:after="120" w:afterAutospacing="0"/>
            </w:pPr>
            <w:r>
              <w:t xml:space="preserve">This approach aligns with the </w:t>
            </w:r>
            <w:r>
              <w:rPr>
                <w:rStyle w:val="Strong"/>
                <w:rFonts w:eastAsiaTheme="majorEastAsia"/>
              </w:rPr>
              <w:t>CARE Principles</w:t>
            </w:r>
            <w:r>
              <w:t xml:space="preserve"> — </w:t>
            </w:r>
            <w:r>
              <w:rPr>
                <w:rStyle w:val="Emphasis"/>
                <w:rFonts w:eastAsiaTheme="majorEastAsia"/>
              </w:rPr>
              <w:t>Collective Benefit, Authority to Control, Responsibility, and Ethics</w:t>
            </w:r>
            <w:r>
              <w:t xml:space="preserve">. These principles complement the </w:t>
            </w:r>
            <w:r>
              <w:rPr>
                <w:rStyle w:val="Strong"/>
                <w:rFonts w:eastAsiaTheme="majorEastAsia"/>
              </w:rPr>
              <w:t>FAIR</w:t>
            </w:r>
            <w:r>
              <w:t xml:space="preserve"> data principles — </w:t>
            </w:r>
            <w:r>
              <w:rPr>
                <w:rStyle w:val="Emphasis"/>
                <w:rFonts w:eastAsiaTheme="majorEastAsia"/>
              </w:rPr>
              <w:t>Findable, Accessible, Interoperable, Reusable</w:t>
            </w:r>
            <w:r>
              <w:t xml:space="preserve"> — by focusing on people and purpose rather than just data efficiency.</w:t>
            </w:r>
          </w:p>
          <w:p w14:paraId="61841BF1" w14:textId="059394CB" w:rsidR="0065166F" w:rsidRPr="00425357" w:rsidRDefault="00425357" w:rsidP="00425357">
            <w:pPr>
              <w:pStyle w:val="NormalWeb"/>
              <w:spacing w:before="120" w:beforeAutospacing="0" w:after="120" w:afterAutospacing="0"/>
            </w:pPr>
            <w:r>
              <w:t>Together, CARE and FAIR provide a balanced framework for responsible and equitable data stewardship.</w:t>
            </w:r>
          </w:p>
        </w:tc>
      </w:tr>
      <w:tr w:rsidR="00F16E09" w:rsidRPr="00CF5731" w14:paraId="7D67054D" w14:textId="77777777" w:rsidTr="00F16E09">
        <w:tc>
          <w:tcPr>
            <w:tcW w:w="1413" w:type="dxa"/>
          </w:tcPr>
          <w:p w14:paraId="7FA4CB92" w14:textId="381CA97B" w:rsidR="00F16E09" w:rsidRPr="00CF5731" w:rsidRDefault="00F16E09" w:rsidP="00556822">
            <w:pPr>
              <w:spacing w:before="120" w:after="120"/>
              <w:rPr>
                <w:rFonts w:ascii="Times New Roman" w:hAnsi="Times New Roman" w:cs="Times New Roman"/>
                <w:color w:val="212121"/>
              </w:rPr>
            </w:pPr>
            <w:r w:rsidRPr="00CF5731">
              <w:rPr>
                <w:rFonts w:ascii="Times New Roman" w:hAnsi="Times New Roman" w:cs="Times New Roman"/>
                <w:color w:val="212121"/>
              </w:rPr>
              <w:lastRenderedPageBreak/>
              <w:t>Slide 7</w:t>
            </w:r>
          </w:p>
        </w:tc>
        <w:tc>
          <w:tcPr>
            <w:tcW w:w="7603" w:type="dxa"/>
          </w:tcPr>
          <w:p w14:paraId="73E4F4D7" w14:textId="77777777" w:rsidR="00AF2D4E" w:rsidRDefault="00AF2D4E" w:rsidP="00AF2D4E">
            <w:pPr>
              <w:pStyle w:val="NormalWeb"/>
              <w:spacing w:before="120" w:beforeAutospacing="0" w:after="120" w:afterAutospacing="0"/>
            </w:pPr>
            <w:r>
              <w:t>Ethics in Indigenous data is about respecting rights, values, and knowledge systems when collecting, managing, and sharing information.</w:t>
            </w:r>
          </w:p>
          <w:p w14:paraId="3191D364" w14:textId="77777777" w:rsidR="00AF2D4E" w:rsidRDefault="00AF2D4E" w:rsidP="00AF2D4E">
            <w:pPr>
              <w:pStyle w:val="NormalWeb"/>
              <w:spacing w:before="120" w:beforeAutospacing="0" w:after="120" w:afterAutospacing="0"/>
            </w:pPr>
            <w:r>
              <w:t xml:space="preserve">While traditional ethics often focus on individual consent, Indigenous ethics emphasize </w:t>
            </w:r>
            <w:r>
              <w:rPr>
                <w:rStyle w:val="Strong"/>
                <w:rFonts w:eastAsiaTheme="majorEastAsia"/>
              </w:rPr>
              <w:t>collective consent, relational accountability, and cultural safety.</w:t>
            </w:r>
          </w:p>
          <w:p w14:paraId="426783C3" w14:textId="77777777" w:rsidR="00AF2D4E" w:rsidRDefault="00AF2D4E" w:rsidP="00AF2D4E">
            <w:pPr>
              <w:pStyle w:val="NormalWeb"/>
              <w:spacing w:before="120" w:beforeAutospacing="0" w:after="120" w:afterAutospacing="0"/>
            </w:pPr>
            <w:r>
              <w:t>Key principles include:</w:t>
            </w:r>
          </w:p>
          <w:p w14:paraId="1836A0EA" w14:textId="77777777" w:rsidR="00AF2D4E" w:rsidRDefault="00AF2D4E" w:rsidP="00AF2D4E">
            <w:pPr>
              <w:pStyle w:val="NormalWeb"/>
              <w:numPr>
                <w:ilvl w:val="0"/>
                <w:numId w:val="12"/>
              </w:numPr>
              <w:spacing w:before="120" w:beforeAutospacing="0" w:after="120" w:afterAutospacing="0"/>
            </w:pPr>
            <w:r>
              <w:rPr>
                <w:rStyle w:val="Strong"/>
                <w:rFonts w:eastAsiaTheme="majorEastAsia"/>
              </w:rPr>
              <w:t>Community control:</w:t>
            </w:r>
            <w:r>
              <w:t xml:space="preserve"> Indigenous communities must govern how their data is collected and used.</w:t>
            </w:r>
          </w:p>
          <w:p w14:paraId="02C7F905" w14:textId="77777777" w:rsidR="00AF2D4E" w:rsidRDefault="00AF2D4E" w:rsidP="00AF2D4E">
            <w:pPr>
              <w:pStyle w:val="NormalWeb"/>
              <w:numPr>
                <w:ilvl w:val="0"/>
                <w:numId w:val="12"/>
              </w:numPr>
              <w:spacing w:before="120" w:beforeAutospacing="0" w:after="120" w:afterAutospacing="0"/>
            </w:pPr>
            <w:r>
              <w:rPr>
                <w:rStyle w:val="Strong"/>
                <w:rFonts w:eastAsiaTheme="majorEastAsia"/>
              </w:rPr>
              <w:t>Cultural sensitivity:</w:t>
            </w:r>
            <w:r>
              <w:t xml:space="preserve"> Some data may contain sacred or sensitive knowledge requiring special handling.</w:t>
            </w:r>
          </w:p>
          <w:p w14:paraId="4CA8D748" w14:textId="77777777" w:rsidR="00AF2D4E" w:rsidRDefault="00AF2D4E" w:rsidP="00AF2D4E">
            <w:pPr>
              <w:pStyle w:val="NormalWeb"/>
              <w:numPr>
                <w:ilvl w:val="0"/>
                <w:numId w:val="12"/>
              </w:numPr>
              <w:spacing w:before="120" w:beforeAutospacing="0" w:after="120" w:afterAutospacing="0"/>
            </w:pPr>
            <w:r>
              <w:rPr>
                <w:rStyle w:val="Strong"/>
                <w:rFonts w:eastAsiaTheme="majorEastAsia"/>
              </w:rPr>
              <w:t>Benefit and reciprocity:</w:t>
            </w:r>
            <w:r>
              <w:t xml:space="preserve"> Research should deliver real, positive outcomes for communities.</w:t>
            </w:r>
          </w:p>
          <w:p w14:paraId="0457D448" w14:textId="77777777" w:rsidR="00AF2D4E" w:rsidRDefault="00AF2D4E" w:rsidP="00AF2D4E">
            <w:pPr>
              <w:pStyle w:val="NormalWeb"/>
              <w:numPr>
                <w:ilvl w:val="0"/>
                <w:numId w:val="12"/>
              </w:numPr>
              <w:spacing w:before="120" w:beforeAutospacing="0" w:after="120" w:afterAutospacing="0"/>
            </w:pPr>
            <w:r>
              <w:rPr>
                <w:rStyle w:val="Strong"/>
                <w:rFonts w:eastAsiaTheme="majorEastAsia"/>
              </w:rPr>
              <w:t>Transparency and trust:</w:t>
            </w:r>
            <w:r>
              <w:t xml:space="preserve"> Researchers must communicate openly about purpose, risks, and outcomes.</w:t>
            </w:r>
          </w:p>
          <w:p w14:paraId="7022AD80" w14:textId="22E0B7EF" w:rsidR="00953594" w:rsidRPr="00AF2D4E" w:rsidRDefault="00AF2D4E" w:rsidP="00AF2D4E">
            <w:pPr>
              <w:pStyle w:val="NormalWeb"/>
              <w:spacing w:before="120" w:beforeAutospacing="0" w:after="120" w:afterAutospacing="0"/>
            </w:pPr>
            <w:r>
              <w:t>In short, ethics in Indigenous data is not just about compliance — it’s about fostering relationships of respect, accountability, and shared purpose.</w:t>
            </w:r>
          </w:p>
        </w:tc>
      </w:tr>
      <w:tr w:rsidR="00387FC2" w:rsidRPr="00CF5731" w14:paraId="2DAC6BD5" w14:textId="77777777" w:rsidTr="00F16E09">
        <w:tc>
          <w:tcPr>
            <w:tcW w:w="1413" w:type="dxa"/>
          </w:tcPr>
          <w:p w14:paraId="42C9A9F2" w14:textId="346D68FB" w:rsidR="00387FC2" w:rsidRPr="00CF5731" w:rsidRDefault="00387FC2" w:rsidP="00556822">
            <w:pPr>
              <w:spacing w:before="120" w:after="120"/>
              <w:rPr>
                <w:rFonts w:ascii="Times New Roman" w:hAnsi="Times New Roman" w:cs="Times New Roman"/>
                <w:color w:val="212121"/>
              </w:rPr>
            </w:pPr>
            <w:r>
              <w:rPr>
                <w:rFonts w:ascii="Times New Roman" w:hAnsi="Times New Roman" w:cs="Times New Roman"/>
                <w:color w:val="212121"/>
              </w:rPr>
              <w:t>Slide 8</w:t>
            </w:r>
            <w:r w:rsidR="001F3DF3">
              <w:rPr>
                <w:rFonts w:ascii="Times New Roman" w:hAnsi="Times New Roman" w:cs="Times New Roman"/>
                <w:color w:val="212121"/>
              </w:rPr>
              <w:t>-1</w:t>
            </w:r>
            <w:r w:rsidR="008240E6">
              <w:rPr>
                <w:rFonts w:ascii="Times New Roman" w:hAnsi="Times New Roman" w:cs="Times New Roman"/>
                <w:color w:val="212121"/>
              </w:rPr>
              <w:t>6</w:t>
            </w:r>
          </w:p>
        </w:tc>
        <w:tc>
          <w:tcPr>
            <w:tcW w:w="7603" w:type="dxa"/>
          </w:tcPr>
          <w:p w14:paraId="5A6D8324" w14:textId="77777777" w:rsidR="003948D6" w:rsidRPr="003948D6" w:rsidRDefault="003948D6" w:rsidP="003948D6">
            <w:pPr>
              <w:pStyle w:val="Heading3"/>
              <w:spacing w:before="120" w:after="120"/>
              <w:rPr>
                <w:rFonts w:ascii="Times New Roman" w:hAnsi="Times New Roman" w:cs="Times New Roman"/>
                <w:color w:val="000000" w:themeColor="text1"/>
                <w:sz w:val="24"/>
                <w:szCs w:val="24"/>
              </w:rPr>
            </w:pPr>
            <w:r w:rsidRPr="003948D6">
              <w:rPr>
                <w:rStyle w:val="Strong"/>
                <w:rFonts w:ascii="Times New Roman" w:hAnsi="Times New Roman" w:cs="Times New Roman"/>
                <w:color w:val="000000" w:themeColor="text1"/>
                <w:sz w:val="24"/>
                <w:szCs w:val="24"/>
              </w:rPr>
              <w:t>Where Ethics is Practiced</w:t>
            </w:r>
          </w:p>
          <w:p w14:paraId="364CEFEB" w14:textId="77777777" w:rsidR="003948D6" w:rsidRPr="003948D6" w:rsidRDefault="003948D6" w:rsidP="003948D6">
            <w:pPr>
              <w:pStyle w:val="NormalWeb"/>
              <w:spacing w:before="120" w:beforeAutospacing="0" w:after="120" w:afterAutospacing="0"/>
            </w:pPr>
            <w:r w:rsidRPr="003948D6">
              <w:t>Ethical principles are most actively practiced where governance, research design, and community engagement intersect.</w:t>
            </w:r>
          </w:p>
          <w:p w14:paraId="409CEACE" w14:textId="77777777" w:rsidR="003948D6" w:rsidRPr="003948D6" w:rsidRDefault="003948D6" w:rsidP="003948D6">
            <w:pPr>
              <w:pStyle w:val="NormalWeb"/>
              <w:spacing w:before="120" w:beforeAutospacing="0" w:after="120" w:afterAutospacing="0"/>
            </w:pPr>
            <w:r w:rsidRPr="003948D6">
              <w:t>Key examples include:</w:t>
            </w:r>
          </w:p>
          <w:p w14:paraId="5EE8B1E8" w14:textId="77777777" w:rsidR="003948D6" w:rsidRPr="003948D6" w:rsidRDefault="003948D6" w:rsidP="003948D6">
            <w:pPr>
              <w:pStyle w:val="NormalWeb"/>
              <w:numPr>
                <w:ilvl w:val="0"/>
                <w:numId w:val="13"/>
              </w:numPr>
              <w:spacing w:before="120" w:beforeAutospacing="0" w:after="120" w:afterAutospacing="0"/>
            </w:pPr>
            <w:r w:rsidRPr="003948D6">
              <w:rPr>
                <w:rStyle w:val="Strong"/>
                <w:rFonts w:eastAsiaTheme="majorEastAsia"/>
              </w:rPr>
              <w:t>Community-led research:</w:t>
            </w:r>
            <w:r w:rsidRPr="003948D6">
              <w:t xml:space="preserve"> Where Indigenous communities set priorities and guide data collection and sharing.</w:t>
            </w:r>
          </w:p>
          <w:p w14:paraId="1FFDFFA7" w14:textId="77777777" w:rsidR="003948D6" w:rsidRPr="003948D6" w:rsidRDefault="003948D6" w:rsidP="003948D6">
            <w:pPr>
              <w:pStyle w:val="NormalWeb"/>
              <w:numPr>
                <w:ilvl w:val="0"/>
                <w:numId w:val="13"/>
              </w:numPr>
              <w:spacing w:before="120" w:beforeAutospacing="0" w:after="120" w:afterAutospacing="0"/>
            </w:pPr>
            <w:r w:rsidRPr="003948D6">
              <w:rPr>
                <w:rStyle w:val="Strong"/>
                <w:rFonts w:eastAsiaTheme="majorEastAsia"/>
              </w:rPr>
              <w:t>Indigenous Data Networks:</w:t>
            </w:r>
            <w:r w:rsidRPr="003948D6">
              <w:t xml:space="preserve"> Such as the Indigenous Data Network (IDN) in Australia, which provides frameworks and oversight.</w:t>
            </w:r>
          </w:p>
          <w:p w14:paraId="6E45727F" w14:textId="77777777" w:rsidR="003948D6" w:rsidRPr="003948D6" w:rsidRDefault="003948D6" w:rsidP="003948D6">
            <w:pPr>
              <w:pStyle w:val="NormalWeb"/>
              <w:numPr>
                <w:ilvl w:val="0"/>
                <w:numId w:val="13"/>
              </w:numPr>
              <w:spacing w:before="120" w:beforeAutospacing="0" w:after="120" w:afterAutospacing="0"/>
            </w:pPr>
            <w:r w:rsidRPr="003948D6">
              <w:rPr>
                <w:rStyle w:val="Strong"/>
                <w:rFonts w:eastAsiaTheme="majorEastAsia"/>
              </w:rPr>
              <w:t>Government and health datasets:</w:t>
            </w:r>
            <w:r w:rsidRPr="003948D6">
              <w:t xml:space="preserve"> Where ethical review ensures that data access benefits communities.</w:t>
            </w:r>
          </w:p>
          <w:p w14:paraId="79466141" w14:textId="77777777" w:rsidR="003948D6" w:rsidRPr="003948D6" w:rsidRDefault="003948D6" w:rsidP="003948D6">
            <w:pPr>
              <w:pStyle w:val="NormalWeb"/>
              <w:numPr>
                <w:ilvl w:val="0"/>
                <w:numId w:val="13"/>
              </w:numPr>
              <w:spacing w:before="120" w:beforeAutospacing="0" w:after="120" w:afterAutospacing="0"/>
            </w:pPr>
            <w:r w:rsidRPr="003948D6">
              <w:rPr>
                <w:rStyle w:val="Strong"/>
                <w:rFonts w:eastAsiaTheme="majorEastAsia"/>
              </w:rPr>
              <w:t>Collaborative university projects:</w:t>
            </w:r>
            <w:r w:rsidRPr="003948D6">
              <w:t xml:space="preserve"> Increasingly embedding IDS and CARE principles in design and dissemination.</w:t>
            </w:r>
          </w:p>
          <w:p w14:paraId="1C0DE2D7" w14:textId="77777777" w:rsidR="003948D6" w:rsidRPr="003948D6" w:rsidRDefault="003948D6" w:rsidP="003948D6">
            <w:pPr>
              <w:pStyle w:val="NormalWeb"/>
              <w:numPr>
                <w:ilvl w:val="0"/>
                <w:numId w:val="13"/>
              </w:numPr>
              <w:spacing w:before="120" w:beforeAutospacing="0" w:after="120" w:afterAutospacing="0"/>
            </w:pPr>
            <w:r w:rsidRPr="003948D6">
              <w:rPr>
                <w:rStyle w:val="Strong"/>
                <w:rFonts w:eastAsiaTheme="majorEastAsia"/>
              </w:rPr>
              <w:t>Policy frameworks:</w:t>
            </w:r>
            <w:r w:rsidRPr="003948D6">
              <w:t xml:space="preserve"> Including the United Nations Declaration on the Rights of Indigenous Peoples and national guidelines.</w:t>
            </w:r>
          </w:p>
          <w:p w14:paraId="4D897724" w14:textId="449C6041" w:rsidR="00387FC2" w:rsidRPr="003948D6" w:rsidRDefault="003948D6" w:rsidP="003948D6">
            <w:pPr>
              <w:pStyle w:val="NormalWeb"/>
              <w:spacing w:before="120" w:beforeAutospacing="0" w:after="120" w:afterAutospacing="0"/>
            </w:pPr>
            <w:r w:rsidRPr="003948D6">
              <w:t>In all cases, ethics is strongest when control, consent, benefit, and cultural safety are central.</w:t>
            </w:r>
          </w:p>
        </w:tc>
      </w:tr>
      <w:tr w:rsidR="00DB1298" w:rsidRPr="00CF5731" w14:paraId="0BDEC231" w14:textId="77777777" w:rsidTr="00F16E09">
        <w:tc>
          <w:tcPr>
            <w:tcW w:w="1413" w:type="dxa"/>
          </w:tcPr>
          <w:p w14:paraId="66345A76" w14:textId="4DBCC018" w:rsidR="00DB1298" w:rsidRDefault="00DB1298" w:rsidP="00556822">
            <w:pPr>
              <w:spacing w:before="120" w:after="120"/>
              <w:rPr>
                <w:rFonts w:ascii="Times New Roman" w:hAnsi="Times New Roman" w:cs="Times New Roman"/>
                <w:color w:val="212121"/>
              </w:rPr>
            </w:pPr>
            <w:r>
              <w:rPr>
                <w:rFonts w:ascii="Times New Roman" w:hAnsi="Times New Roman" w:cs="Times New Roman"/>
                <w:color w:val="212121"/>
              </w:rPr>
              <w:t xml:space="preserve">Slide </w:t>
            </w:r>
            <w:r w:rsidR="00F808B1">
              <w:rPr>
                <w:rFonts w:ascii="Times New Roman" w:hAnsi="Times New Roman" w:cs="Times New Roman"/>
                <w:color w:val="212121"/>
              </w:rPr>
              <w:t>1</w:t>
            </w:r>
            <w:r w:rsidR="00B0182C">
              <w:rPr>
                <w:rFonts w:ascii="Times New Roman" w:hAnsi="Times New Roman" w:cs="Times New Roman"/>
                <w:color w:val="212121"/>
              </w:rPr>
              <w:t>7-18</w:t>
            </w:r>
          </w:p>
        </w:tc>
        <w:tc>
          <w:tcPr>
            <w:tcW w:w="7603" w:type="dxa"/>
          </w:tcPr>
          <w:p w14:paraId="5BCD6178" w14:textId="77777777" w:rsidR="000339F7" w:rsidRPr="000339F7" w:rsidRDefault="000339F7" w:rsidP="000339F7">
            <w:pPr>
              <w:pStyle w:val="Heading3"/>
              <w:spacing w:before="120" w:after="120"/>
              <w:rPr>
                <w:rFonts w:ascii="Times New Roman" w:hAnsi="Times New Roman" w:cs="Times New Roman"/>
                <w:sz w:val="24"/>
                <w:szCs w:val="24"/>
              </w:rPr>
            </w:pPr>
            <w:r w:rsidRPr="000339F7">
              <w:rPr>
                <w:rStyle w:val="Strong"/>
                <w:rFonts w:ascii="Times New Roman" w:hAnsi="Times New Roman" w:cs="Times New Roman"/>
                <w:b w:val="0"/>
                <w:bCs w:val="0"/>
                <w:sz w:val="24"/>
                <w:szCs w:val="24"/>
              </w:rPr>
              <w:t>Ethical Oversight — The AIHW Example</w:t>
            </w:r>
          </w:p>
          <w:p w14:paraId="71212CBB" w14:textId="77777777" w:rsidR="000339F7" w:rsidRPr="000339F7" w:rsidRDefault="000339F7" w:rsidP="000339F7">
            <w:pPr>
              <w:pStyle w:val="NormalWeb"/>
              <w:spacing w:before="120" w:beforeAutospacing="0" w:after="120" w:afterAutospacing="0"/>
            </w:pPr>
            <w:r w:rsidRPr="000339F7">
              <w:t xml:space="preserve">The </w:t>
            </w:r>
            <w:r w:rsidRPr="000339F7">
              <w:rPr>
                <w:rStyle w:val="Strong"/>
                <w:rFonts w:eastAsiaTheme="majorEastAsia"/>
              </w:rPr>
              <w:t>Australian Institute of Health and Welfare (AIHW) Ethics Committee</w:t>
            </w:r>
            <w:r w:rsidRPr="000339F7">
              <w:t xml:space="preserve"> ensures that data involving Aboriginal and Torres Strait Islander peoples is handled ethically, respectfully, and in alignment with best practice.</w:t>
            </w:r>
          </w:p>
          <w:p w14:paraId="20BDF09B" w14:textId="77777777" w:rsidR="000339F7" w:rsidRPr="000339F7" w:rsidRDefault="000339F7" w:rsidP="000339F7">
            <w:pPr>
              <w:pStyle w:val="NormalWeb"/>
              <w:spacing w:before="120" w:beforeAutospacing="0" w:after="120" w:afterAutospacing="0"/>
            </w:pPr>
            <w:r w:rsidRPr="000339F7">
              <w:t>The Committee’s work includes:</w:t>
            </w:r>
          </w:p>
          <w:p w14:paraId="31C428BA" w14:textId="77777777" w:rsidR="000339F7" w:rsidRPr="000339F7" w:rsidRDefault="000339F7" w:rsidP="000339F7">
            <w:pPr>
              <w:pStyle w:val="NormalWeb"/>
              <w:numPr>
                <w:ilvl w:val="0"/>
                <w:numId w:val="14"/>
              </w:numPr>
              <w:spacing w:before="120" w:beforeAutospacing="0" w:after="120" w:afterAutospacing="0"/>
            </w:pPr>
            <w:r w:rsidRPr="000339F7">
              <w:rPr>
                <w:rStyle w:val="Strong"/>
                <w:rFonts w:eastAsiaTheme="majorEastAsia"/>
              </w:rPr>
              <w:lastRenderedPageBreak/>
              <w:t>Comprehensive ethical review:</w:t>
            </w:r>
            <w:r w:rsidRPr="000339F7">
              <w:t xml:space="preserve"> Ensuring privacy, confidentiality, and respect for Indigenous data.</w:t>
            </w:r>
          </w:p>
          <w:p w14:paraId="4D5B26CF" w14:textId="77777777" w:rsidR="000339F7" w:rsidRPr="000339F7" w:rsidRDefault="000339F7" w:rsidP="000339F7">
            <w:pPr>
              <w:pStyle w:val="NormalWeb"/>
              <w:numPr>
                <w:ilvl w:val="0"/>
                <w:numId w:val="14"/>
              </w:numPr>
              <w:spacing w:before="120" w:beforeAutospacing="0" w:after="120" w:afterAutospacing="0"/>
            </w:pPr>
            <w:r w:rsidRPr="000339F7">
              <w:rPr>
                <w:rStyle w:val="Strong"/>
                <w:rFonts w:eastAsiaTheme="majorEastAsia"/>
              </w:rPr>
              <w:t>Strong governance:</w:t>
            </w:r>
            <w:r w:rsidRPr="000339F7">
              <w:t xml:space="preserve"> Aligning with the Privacy Act 1988 and the AIHW Act 1987.</w:t>
            </w:r>
          </w:p>
          <w:p w14:paraId="3CECB8BA" w14:textId="77777777" w:rsidR="000339F7" w:rsidRPr="000339F7" w:rsidRDefault="000339F7" w:rsidP="000339F7">
            <w:pPr>
              <w:pStyle w:val="NormalWeb"/>
              <w:numPr>
                <w:ilvl w:val="0"/>
                <w:numId w:val="14"/>
              </w:numPr>
              <w:spacing w:before="120" w:beforeAutospacing="0" w:after="120" w:afterAutospacing="0"/>
            </w:pPr>
            <w:r w:rsidRPr="000339F7">
              <w:rPr>
                <w:rStyle w:val="Strong"/>
                <w:rFonts w:eastAsiaTheme="majorEastAsia"/>
              </w:rPr>
              <w:t>Community collaboration:</w:t>
            </w:r>
            <w:r w:rsidRPr="000339F7">
              <w:t xml:space="preserve"> Engaging directly with communities to ensure their perspectives and rights guide the research process.</w:t>
            </w:r>
          </w:p>
          <w:p w14:paraId="60779621" w14:textId="77777777" w:rsidR="000339F7" w:rsidRPr="000339F7" w:rsidRDefault="000339F7" w:rsidP="000339F7">
            <w:pPr>
              <w:pStyle w:val="NormalWeb"/>
              <w:spacing w:before="120" w:beforeAutospacing="0" w:after="120" w:afterAutospacing="0"/>
            </w:pPr>
            <w:r w:rsidRPr="000339F7">
              <w:t>When reviewing projects, the Committee looks for:</w:t>
            </w:r>
          </w:p>
          <w:p w14:paraId="66C752AB" w14:textId="77777777" w:rsidR="000339F7" w:rsidRPr="000339F7" w:rsidRDefault="000339F7" w:rsidP="000339F7">
            <w:pPr>
              <w:pStyle w:val="NormalWeb"/>
              <w:numPr>
                <w:ilvl w:val="0"/>
                <w:numId w:val="15"/>
              </w:numPr>
              <w:spacing w:before="120" w:beforeAutospacing="0" w:after="120" w:afterAutospacing="0"/>
            </w:pPr>
            <w:r w:rsidRPr="000339F7">
              <w:t>Clear community benefit and impact</w:t>
            </w:r>
          </w:p>
          <w:p w14:paraId="07BB4C6E" w14:textId="77777777" w:rsidR="000339F7" w:rsidRPr="000339F7" w:rsidRDefault="000339F7" w:rsidP="000339F7">
            <w:pPr>
              <w:pStyle w:val="NormalWeb"/>
              <w:numPr>
                <w:ilvl w:val="0"/>
                <w:numId w:val="15"/>
              </w:numPr>
              <w:spacing w:before="120" w:beforeAutospacing="0" w:after="120" w:afterAutospacing="0"/>
            </w:pPr>
            <w:r w:rsidRPr="000339F7">
              <w:t>Cultural safety and respect</w:t>
            </w:r>
          </w:p>
          <w:p w14:paraId="376FD76D" w14:textId="77777777" w:rsidR="000339F7" w:rsidRPr="000339F7" w:rsidRDefault="000339F7" w:rsidP="000339F7">
            <w:pPr>
              <w:pStyle w:val="NormalWeb"/>
              <w:numPr>
                <w:ilvl w:val="0"/>
                <w:numId w:val="15"/>
              </w:numPr>
              <w:spacing w:before="120" w:beforeAutospacing="0" w:after="120" w:afterAutospacing="0"/>
            </w:pPr>
            <w:r w:rsidRPr="000339F7">
              <w:t>Indigenous data sovereignty and governance</w:t>
            </w:r>
          </w:p>
          <w:p w14:paraId="58A844AB" w14:textId="77777777" w:rsidR="000339F7" w:rsidRPr="000339F7" w:rsidRDefault="000339F7" w:rsidP="000339F7">
            <w:pPr>
              <w:pStyle w:val="NormalWeb"/>
              <w:numPr>
                <w:ilvl w:val="0"/>
                <w:numId w:val="15"/>
              </w:numPr>
              <w:spacing w:before="120" w:beforeAutospacing="0" w:after="120" w:afterAutospacing="0"/>
            </w:pPr>
            <w:r w:rsidRPr="000339F7">
              <w:t>Genuine consent and engagement</w:t>
            </w:r>
          </w:p>
          <w:p w14:paraId="4A5F2651" w14:textId="77777777" w:rsidR="000339F7" w:rsidRPr="000339F7" w:rsidRDefault="000339F7" w:rsidP="000339F7">
            <w:pPr>
              <w:pStyle w:val="NormalWeb"/>
              <w:numPr>
                <w:ilvl w:val="0"/>
                <w:numId w:val="15"/>
              </w:numPr>
              <w:spacing w:before="120" w:beforeAutospacing="0" w:after="120" w:afterAutospacing="0"/>
            </w:pPr>
            <w:r w:rsidRPr="000339F7">
              <w:t>Avoidance of harm or deficit narratives</w:t>
            </w:r>
          </w:p>
          <w:p w14:paraId="3F4DD53B" w14:textId="77777777" w:rsidR="000339F7" w:rsidRPr="000339F7" w:rsidRDefault="000339F7" w:rsidP="000339F7">
            <w:pPr>
              <w:pStyle w:val="NormalWeb"/>
              <w:numPr>
                <w:ilvl w:val="0"/>
                <w:numId w:val="15"/>
              </w:numPr>
              <w:spacing w:before="120" w:beforeAutospacing="0" w:after="120" w:afterAutospacing="0"/>
            </w:pPr>
            <w:r w:rsidRPr="000339F7">
              <w:t>Capacity building and leadership opportunities</w:t>
            </w:r>
          </w:p>
          <w:p w14:paraId="27FA102D" w14:textId="29BADD9B" w:rsidR="000339F7" w:rsidRPr="000339F7" w:rsidRDefault="000339F7" w:rsidP="000339F7">
            <w:pPr>
              <w:pStyle w:val="NormalWeb"/>
              <w:spacing w:before="120" w:beforeAutospacing="0" w:after="120" w:afterAutospacing="0"/>
            </w:pPr>
            <w:r w:rsidRPr="000339F7">
              <w:t xml:space="preserve">The goal is to ensure that research is not extractive or tokenistic, but truly beneficial, culturally grounded, and </w:t>
            </w:r>
            <w:r w:rsidR="009D2A45" w:rsidRPr="000339F7">
              <w:t>community driven</w:t>
            </w:r>
            <w:r w:rsidRPr="000339F7">
              <w:t>.</w:t>
            </w:r>
          </w:p>
          <w:p w14:paraId="017F4DF8" w14:textId="7EA00EE6" w:rsidR="00DB1298" w:rsidRPr="000339F7" w:rsidRDefault="000339F7" w:rsidP="000339F7">
            <w:pPr>
              <w:pStyle w:val="NormalWeb"/>
              <w:spacing w:before="120" w:beforeAutospacing="0" w:after="120" w:afterAutospacing="0"/>
            </w:pPr>
            <w:r w:rsidRPr="000339F7">
              <w:t>Ultimately, stating an intention to be culturally safe is not enough — it must be demonstrated through consistent action and accountability.</w:t>
            </w:r>
          </w:p>
        </w:tc>
      </w:tr>
      <w:tr w:rsidR="00DC6679" w:rsidRPr="00CF5731" w14:paraId="66F7E541" w14:textId="77777777" w:rsidTr="00F16E09">
        <w:tc>
          <w:tcPr>
            <w:tcW w:w="1413" w:type="dxa"/>
          </w:tcPr>
          <w:p w14:paraId="4931FF40" w14:textId="0602B238" w:rsidR="00DC6679" w:rsidRDefault="007F0118" w:rsidP="00556822">
            <w:pPr>
              <w:spacing w:before="120" w:after="120"/>
              <w:rPr>
                <w:rFonts w:ascii="Times New Roman" w:hAnsi="Times New Roman" w:cs="Times New Roman"/>
                <w:color w:val="212121"/>
              </w:rPr>
            </w:pPr>
            <w:r>
              <w:rPr>
                <w:rFonts w:ascii="Times New Roman" w:hAnsi="Times New Roman" w:cs="Times New Roman"/>
                <w:color w:val="212121"/>
              </w:rPr>
              <w:lastRenderedPageBreak/>
              <w:t>Slide 1</w:t>
            </w:r>
            <w:r w:rsidR="00B0182C">
              <w:rPr>
                <w:rFonts w:ascii="Times New Roman" w:hAnsi="Times New Roman" w:cs="Times New Roman"/>
                <w:color w:val="212121"/>
              </w:rPr>
              <w:t>9</w:t>
            </w:r>
          </w:p>
        </w:tc>
        <w:tc>
          <w:tcPr>
            <w:tcW w:w="7603" w:type="dxa"/>
          </w:tcPr>
          <w:p w14:paraId="4FF82AC5" w14:textId="77777777" w:rsidR="00A02AD3" w:rsidRDefault="00A02AD3" w:rsidP="00A02AD3">
            <w:pPr>
              <w:pStyle w:val="NormalWeb"/>
              <w:spacing w:before="120" w:beforeAutospacing="0" w:after="120" w:afterAutospacing="0"/>
            </w:pPr>
            <w:r>
              <w:t>Open science promotes transparency, reproducibility, and data sharing. Its goal is to make research accessible and collaborative.</w:t>
            </w:r>
          </w:p>
          <w:p w14:paraId="7E8D9F61" w14:textId="77777777" w:rsidR="00A02AD3" w:rsidRDefault="00A02AD3" w:rsidP="00A02AD3">
            <w:pPr>
              <w:pStyle w:val="NormalWeb"/>
              <w:spacing w:before="120" w:beforeAutospacing="0" w:after="120" w:afterAutospacing="0"/>
            </w:pPr>
            <w:r>
              <w:t xml:space="preserve">However, while open science encourages broad access to data, </w:t>
            </w:r>
            <w:r>
              <w:rPr>
                <w:rStyle w:val="Strong"/>
                <w:rFonts w:eastAsiaTheme="majorEastAsia"/>
              </w:rPr>
              <w:t>Indigenous Data Sovereignty</w:t>
            </w:r>
            <w:r>
              <w:t xml:space="preserve"> emphasizes community control and culturally safe governance.</w:t>
            </w:r>
          </w:p>
          <w:p w14:paraId="1A2847F3" w14:textId="77777777" w:rsidR="00A02AD3" w:rsidRDefault="00A02AD3" w:rsidP="00A02AD3">
            <w:pPr>
              <w:pStyle w:val="NormalWeb"/>
              <w:spacing w:before="120" w:beforeAutospacing="0" w:after="120" w:afterAutospacing="0"/>
            </w:pPr>
            <w:r>
              <w:t>Some data cannot be openly shared — not because researchers wish to limit transparency, but because it may be sensitive, sacred, or connected to community rights.</w:t>
            </w:r>
          </w:p>
          <w:p w14:paraId="165CE48F" w14:textId="77777777" w:rsidR="00A02AD3" w:rsidRDefault="00A02AD3" w:rsidP="00A02AD3">
            <w:pPr>
              <w:pStyle w:val="NormalWeb"/>
              <w:spacing w:before="120" w:beforeAutospacing="0" w:after="120" w:afterAutospacing="0"/>
            </w:pPr>
            <w:r>
              <w:t>Open science and Indigenous Data Sovereignty can coexist when researchers respect Indigenous governance frameworks. This can involve controlled access, community data agreements, and clear communication about how data will be used.</w:t>
            </w:r>
          </w:p>
          <w:p w14:paraId="1E1A0328" w14:textId="3524AEFD" w:rsidR="00DC6679" w:rsidRPr="00A02AD3" w:rsidRDefault="00A02AD3" w:rsidP="00A02AD3">
            <w:pPr>
              <w:pStyle w:val="NormalWeb"/>
              <w:spacing w:before="120" w:beforeAutospacing="0" w:after="120" w:afterAutospacing="0"/>
            </w:pPr>
            <w:r>
              <w:t>Ethical openness means balancing transparency with responsibility — ensuring that open research does not compromise cultural integrity or self-determination.</w:t>
            </w:r>
          </w:p>
        </w:tc>
      </w:tr>
      <w:tr w:rsidR="007F0118" w:rsidRPr="00CF5731" w14:paraId="57A0F041" w14:textId="77777777" w:rsidTr="00F16E09">
        <w:tc>
          <w:tcPr>
            <w:tcW w:w="1413" w:type="dxa"/>
          </w:tcPr>
          <w:p w14:paraId="27754063" w14:textId="0AD9CAEA" w:rsidR="007F0118" w:rsidRDefault="007F0118" w:rsidP="00556822">
            <w:pPr>
              <w:spacing w:before="120" w:after="120"/>
              <w:rPr>
                <w:rFonts w:ascii="Times New Roman" w:hAnsi="Times New Roman" w:cs="Times New Roman"/>
                <w:color w:val="212121"/>
              </w:rPr>
            </w:pPr>
            <w:r>
              <w:rPr>
                <w:rFonts w:ascii="Times New Roman" w:hAnsi="Times New Roman" w:cs="Times New Roman"/>
                <w:color w:val="212121"/>
              </w:rPr>
              <w:t xml:space="preserve">Slide </w:t>
            </w:r>
            <w:r w:rsidR="00B0182C">
              <w:rPr>
                <w:rFonts w:ascii="Times New Roman" w:hAnsi="Times New Roman" w:cs="Times New Roman"/>
                <w:color w:val="212121"/>
              </w:rPr>
              <w:t>20</w:t>
            </w:r>
            <w:r w:rsidR="00EE66F4">
              <w:rPr>
                <w:rFonts w:ascii="Times New Roman" w:hAnsi="Times New Roman" w:cs="Times New Roman"/>
                <w:color w:val="212121"/>
              </w:rPr>
              <w:t>-25</w:t>
            </w:r>
          </w:p>
        </w:tc>
        <w:tc>
          <w:tcPr>
            <w:tcW w:w="7603" w:type="dxa"/>
          </w:tcPr>
          <w:p w14:paraId="1CD201CD" w14:textId="6CAFB4D0" w:rsidR="00561E0B" w:rsidRDefault="00561E0B" w:rsidP="00303502">
            <w:pPr>
              <w:spacing w:before="120" w:after="120"/>
              <w:rPr>
                <w:rFonts w:ascii="Times New Roman" w:hAnsi="Times New Roman" w:cs="Times New Roman"/>
                <w:color w:val="212121"/>
              </w:rPr>
            </w:pPr>
            <w:r>
              <w:rPr>
                <w:rFonts w:ascii="Times New Roman" w:hAnsi="Times New Roman" w:cs="Times New Roman"/>
                <w:color w:val="212121"/>
              </w:rPr>
              <w:t>Example of how we are doing it at the University of Melbourne</w:t>
            </w:r>
          </w:p>
          <w:p w14:paraId="7292C60D" w14:textId="77777777" w:rsidR="00303502" w:rsidRDefault="00303502" w:rsidP="00303502">
            <w:pPr>
              <w:pStyle w:val="NormalWeb"/>
              <w:spacing w:before="120" w:beforeAutospacing="0" w:after="120" w:afterAutospacing="0"/>
            </w:pPr>
            <w:r>
              <w:t xml:space="preserve">The </w:t>
            </w:r>
            <w:r>
              <w:rPr>
                <w:rStyle w:val="Strong"/>
                <w:rFonts w:eastAsiaTheme="majorEastAsia"/>
              </w:rPr>
              <w:t>Indigenous Data Network (IDN)</w:t>
            </w:r>
            <w:r>
              <w:t>, established in 2018, is a national collaboration led by the University of Melbourne, the Australian National University, and AIATSIS.</w:t>
            </w:r>
          </w:p>
          <w:p w14:paraId="03C4CB20" w14:textId="77777777" w:rsidR="00303502" w:rsidRDefault="00303502" w:rsidP="00303502">
            <w:pPr>
              <w:pStyle w:val="NormalWeb"/>
              <w:spacing w:before="120" w:beforeAutospacing="0" w:after="120" w:afterAutospacing="0"/>
            </w:pPr>
            <w:r>
              <w:t>It brings together Aboriginal community-controlled organisations, universities, Indigenous-led businesses, and government partners to strengthen Indigenous Data Sovereignty and Governance.</w:t>
            </w:r>
          </w:p>
          <w:p w14:paraId="2FB13B68" w14:textId="77777777" w:rsidR="00303502" w:rsidRDefault="00303502" w:rsidP="00303502">
            <w:pPr>
              <w:pStyle w:val="NormalWeb"/>
              <w:spacing w:before="120" w:beforeAutospacing="0" w:after="120" w:afterAutospacing="0"/>
            </w:pPr>
            <w:r>
              <w:lastRenderedPageBreak/>
              <w:t xml:space="preserve">Through initiatives such as the </w:t>
            </w:r>
            <w:r>
              <w:rPr>
                <w:rStyle w:val="Strong"/>
                <w:rFonts w:eastAsiaTheme="majorEastAsia"/>
              </w:rPr>
              <w:t>Community Data Project (2021–2024)</w:t>
            </w:r>
            <w:r>
              <w:t xml:space="preserve"> and </w:t>
            </w:r>
            <w:r>
              <w:rPr>
                <w:rStyle w:val="Strong"/>
                <w:rFonts w:eastAsiaTheme="majorEastAsia"/>
              </w:rPr>
              <w:t>Improving Indigenous Research Capabilities (2022–2028)</w:t>
            </w:r>
            <w:r>
              <w:t>, the IDN develops frameworks and tools for community-led data access and governance aligned with the CARE Principles.</w:t>
            </w:r>
          </w:p>
          <w:p w14:paraId="3D40C1C6" w14:textId="77777777" w:rsidR="00303502" w:rsidRDefault="00303502" w:rsidP="00303502">
            <w:pPr>
              <w:pStyle w:val="NormalWeb"/>
              <w:spacing w:before="120" w:beforeAutospacing="0" w:after="120" w:afterAutospacing="0"/>
            </w:pPr>
            <w:r>
              <w:t>Its work empowers communities to use data for self-determined decision-making in health, education, justice, and development — while also shaping national policy and contributing to the global Indigenous data movement.</w:t>
            </w:r>
          </w:p>
          <w:p w14:paraId="5833D5E1" w14:textId="72AC60C5" w:rsidR="007F0118" w:rsidRPr="00303502" w:rsidRDefault="00303502" w:rsidP="00303502">
            <w:pPr>
              <w:pStyle w:val="NormalWeb"/>
              <w:spacing w:before="120" w:beforeAutospacing="0" w:after="120" w:afterAutospacing="0"/>
            </w:pPr>
            <w:r>
              <w:t>The IDN exemplifies how Indigenous Data Governance can move beyond compliance to create lasting, ethical partnerships.</w:t>
            </w:r>
          </w:p>
        </w:tc>
      </w:tr>
      <w:tr w:rsidR="00C12BEA" w:rsidRPr="00CF5731" w14:paraId="599FA2FD" w14:textId="77777777" w:rsidTr="00F16E09">
        <w:tc>
          <w:tcPr>
            <w:tcW w:w="1413" w:type="dxa"/>
          </w:tcPr>
          <w:p w14:paraId="01182B38" w14:textId="77777777" w:rsidR="00C12BEA" w:rsidRDefault="00C12BEA" w:rsidP="00556822">
            <w:pPr>
              <w:spacing w:before="120" w:after="120"/>
              <w:rPr>
                <w:rFonts w:ascii="Times New Roman" w:hAnsi="Times New Roman" w:cs="Times New Roman"/>
                <w:color w:val="212121"/>
              </w:rPr>
            </w:pPr>
          </w:p>
        </w:tc>
        <w:tc>
          <w:tcPr>
            <w:tcW w:w="7603" w:type="dxa"/>
          </w:tcPr>
          <w:p w14:paraId="3B1B39D5" w14:textId="77777777" w:rsidR="00C12BEA" w:rsidRDefault="00C12BEA" w:rsidP="00C12BEA">
            <w:pPr>
              <w:pStyle w:val="NormalWeb"/>
              <w:spacing w:before="120" w:beforeAutospacing="0" w:after="120" w:afterAutospacing="0"/>
            </w:pPr>
            <w:r>
              <w:t>Indigenous Data Governance is about more than rules and protocols — it’s about relationships, respect, and shared responsibility.</w:t>
            </w:r>
          </w:p>
          <w:p w14:paraId="1E866A7C" w14:textId="77777777" w:rsidR="00C12BEA" w:rsidRDefault="00C12BEA" w:rsidP="00C12BEA">
            <w:pPr>
              <w:pStyle w:val="NormalWeb"/>
              <w:spacing w:before="120" w:beforeAutospacing="0" w:after="120" w:afterAutospacing="0"/>
            </w:pPr>
            <w:r>
              <w:t>When we recognise Indigenous peoples as the rightful stewards of their data, research becomes not just more ethical, but more truthful, more effective, and more just.</w:t>
            </w:r>
          </w:p>
          <w:p w14:paraId="173EA72A" w14:textId="17127AA8" w:rsidR="00C12BEA" w:rsidRPr="00C12BEA" w:rsidRDefault="00C12BEA" w:rsidP="00C12BEA">
            <w:pPr>
              <w:pStyle w:val="NormalWeb"/>
              <w:spacing w:before="120" w:beforeAutospacing="0" w:after="120" w:afterAutospacing="0"/>
            </w:pPr>
            <w:r>
              <w:t>By embedding the CARE principles into our work, and by committing to genuine partnership and accountability, we can help ensure that data serves its highest purpose — to support Indigenous self-determination and collective wellbeing.</w:t>
            </w:r>
          </w:p>
        </w:tc>
      </w:tr>
    </w:tbl>
    <w:p w14:paraId="7C7C3A66" w14:textId="77777777" w:rsidR="00F16E09" w:rsidRPr="00CF5731" w:rsidRDefault="00F16E09">
      <w:pPr>
        <w:rPr>
          <w:rFonts w:ascii="Times New Roman" w:hAnsi="Times New Roman" w:cs="Times New Roman"/>
          <w:color w:val="212121"/>
        </w:rPr>
      </w:pPr>
    </w:p>
    <w:p w14:paraId="212E8A25" w14:textId="5A551AC3" w:rsidR="009E0B26" w:rsidRPr="00CF5731" w:rsidRDefault="009E0B26">
      <w:pPr>
        <w:rPr>
          <w:rFonts w:ascii="Times New Roman" w:hAnsi="Times New Roman" w:cs="Times New Roman"/>
        </w:rPr>
      </w:pPr>
    </w:p>
    <w:sectPr w:rsidR="009E0B26" w:rsidRPr="00CF57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13889"/>
    <w:multiLevelType w:val="multilevel"/>
    <w:tmpl w:val="25BE43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30294"/>
    <w:multiLevelType w:val="hybridMultilevel"/>
    <w:tmpl w:val="20642308"/>
    <w:lvl w:ilvl="0" w:tplc="6456AC64">
      <w:start w:val="1"/>
      <w:numFmt w:val="bullet"/>
      <w:lvlText w:val="•"/>
      <w:lvlJc w:val="left"/>
      <w:pPr>
        <w:tabs>
          <w:tab w:val="num" w:pos="720"/>
        </w:tabs>
        <w:ind w:left="720" w:hanging="360"/>
      </w:pPr>
      <w:rPr>
        <w:rFonts w:ascii="Arial" w:hAnsi="Arial" w:hint="default"/>
      </w:rPr>
    </w:lvl>
    <w:lvl w:ilvl="1" w:tplc="2C342D0A" w:tentative="1">
      <w:start w:val="1"/>
      <w:numFmt w:val="bullet"/>
      <w:lvlText w:val="•"/>
      <w:lvlJc w:val="left"/>
      <w:pPr>
        <w:tabs>
          <w:tab w:val="num" w:pos="1440"/>
        </w:tabs>
        <w:ind w:left="1440" w:hanging="360"/>
      </w:pPr>
      <w:rPr>
        <w:rFonts w:ascii="Arial" w:hAnsi="Arial" w:hint="default"/>
      </w:rPr>
    </w:lvl>
    <w:lvl w:ilvl="2" w:tplc="33D24B0E" w:tentative="1">
      <w:start w:val="1"/>
      <w:numFmt w:val="bullet"/>
      <w:lvlText w:val="•"/>
      <w:lvlJc w:val="left"/>
      <w:pPr>
        <w:tabs>
          <w:tab w:val="num" w:pos="2160"/>
        </w:tabs>
        <w:ind w:left="2160" w:hanging="360"/>
      </w:pPr>
      <w:rPr>
        <w:rFonts w:ascii="Arial" w:hAnsi="Arial" w:hint="default"/>
      </w:rPr>
    </w:lvl>
    <w:lvl w:ilvl="3" w:tplc="A72CC516" w:tentative="1">
      <w:start w:val="1"/>
      <w:numFmt w:val="bullet"/>
      <w:lvlText w:val="•"/>
      <w:lvlJc w:val="left"/>
      <w:pPr>
        <w:tabs>
          <w:tab w:val="num" w:pos="2880"/>
        </w:tabs>
        <w:ind w:left="2880" w:hanging="360"/>
      </w:pPr>
      <w:rPr>
        <w:rFonts w:ascii="Arial" w:hAnsi="Arial" w:hint="default"/>
      </w:rPr>
    </w:lvl>
    <w:lvl w:ilvl="4" w:tplc="800A6048" w:tentative="1">
      <w:start w:val="1"/>
      <w:numFmt w:val="bullet"/>
      <w:lvlText w:val="•"/>
      <w:lvlJc w:val="left"/>
      <w:pPr>
        <w:tabs>
          <w:tab w:val="num" w:pos="3600"/>
        </w:tabs>
        <w:ind w:left="3600" w:hanging="360"/>
      </w:pPr>
      <w:rPr>
        <w:rFonts w:ascii="Arial" w:hAnsi="Arial" w:hint="default"/>
      </w:rPr>
    </w:lvl>
    <w:lvl w:ilvl="5" w:tplc="1234A55C" w:tentative="1">
      <w:start w:val="1"/>
      <w:numFmt w:val="bullet"/>
      <w:lvlText w:val="•"/>
      <w:lvlJc w:val="left"/>
      <w:pPr>
        <w:tabs>
          <w:tab w:val="num" w:pos="4320"/>
        </w:tabs>
        <w:ind w:left="4320" w:hanging="360"/>
      </w:pPr>
      <w:rPr>
        <w:rFonts w:ascii="Arial" w:hAnsi="Arial" w:hint="default"/>
      </w:rPr>
    </w:lvl>
    <w:lvl w:ilvl="6" w:tplc="622E10A2" w:tentative="1">
      <w:start w:val="1"/>
      <w:numFmt w:val="bullet"/>
      <w:lvlText w:val="•"/>
      <w:lvlJc w:val="left"/>
      <w:pPr>
        <w:tabs>
          <w:tab w:val="num" w:pos="5040"/>
        </w:tabs>
        <w:ind w:left="5040" w:hanging="360"/>
      </w:pPr>
      <w:rPr>
        <w:rFonts w:ascii="Arial" w:hAnsi="Arial" w:hint="default"/>
      </w:rPr>
    </w:lvl>
    <w:lvl w:ilvl="7" w:tplc="6178A0D0" w:tentative="1">
      <w:start w:val="1"/>
      <w:numFmt w:val="bullet"/>
      <w:lvlText w:val="•"/>
      <w:lvlJc w:val="left"/>
      <w:pPr>
        <w:tabs>
          <w:tab w:val="num" w:pos="5760"/>
        </w:tabs>
        <w:ind w:left="5760" w:hanging="360"/>
      </w:pPr>
      <w:rPr>
        <w:rFonts w:ascii="Arial" w:hAnsi="Arial" w:hint="default"/>
      </w:rPr>
    </w:lvl>
    <w:lvl w:ilvl="8" w:tplc="E33860B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7E1CB2"/>
    <w:multiLevelType w:val="multilevel"/>
    <w:tmpl w:val="27B8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95E4C"/>
    <w:multiLevelType w:val="multilevel"/>
    <w:tmpl w:val="ABA2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E32A6D"/>
    <w:multiLevelType w:val="hybridMultilevel"/>
    <w:tmpl w:val="881C210A"/>
    <w:lvl w:ilvl="0" w:tplc="BD2606F8">
      <w:start w:val="1"/>
      <w:numFmt w:val="bullet"/>
      <w:lvlText w:val="•"/>
      <w:lvlJc w:val="left"/>
      <w:pPr>
        <w:tabs>
          <w:tab w:val="num" w:pos="720"/>
        </w:tabs>
        <w:ind w:left="720" w:hanging="360"/>
      </w:pPr>
      <w:rPr>
        <w:rFonts w:ascii="Arial" w:hAnsi="Arial" w:hint="default"/>
      </w:rPr>
    </w:lvl>
    <w:lvl w:ilvl="1" w:tplc="A7864678" w:tentative="1">
      <w:start w:val="1"/>
      <w:numFmt w:val="bullet"/>
      <w:lvlText w:val="•"/>
      <w:lvlJc w:val="left"/>
      <w:pPr>
        <w:tabs>
          <w:tab w:val="num" w:pos="1440"/>
        </w:tabs>
        <w:ind w:left="1440" w:hanging="360"/>
      </w:pPr>
      <w:rPr>
        <w:rFonts w:ascii="Arial" w:hAnsi="Arial" w:hint="default"/>
      </w:rPr>
    </w:lvl>
    <w:lvl w:ilvl="2" w:tplc="EC16C94E" w:tentative="1">
      <w:start w:val="1"/>
      <w:numFmt w:val="bullet"/>
      <w:lvlText w:val="•"/>
      <w:lvlJc w:val="left"/>
      <w:pPr>
        <w:tabs>
          <w:tab w:val="num" w:pos="2160"/>
        </w:tabs>
        <w:ind w:left="2160" w:hanging="360"/>
      </w:pPr>
      <w:rPr>
        <w:rFonts w:ascii="Arial" w:hAnsi="Arial" w:hint="default"/>
      </w:rPr>
    </w:lvl>
    <w:lvl w:ilvl="3" w:tplc="51021B62" w:tentative="1">
      <w:start w:val="1"/>
      <w:numFmt w:val="bullet"/>
      <w:lvlText w:val="•"/>
      <w:lvlJc w:val="left"/>
      <w:pPr>
        <w:tabs>
          <w:tab w:val="num" w:pos="2880"/>
        </w:tabs>
        <w:ind w:left="2880" w:hanging="360"/>
      </w:pPr>
      <w:rPr>
        <w:rFonts w:ascii="Arial" w:hAnsi="Arial" w:hint="default"/>
      </w:rPr>
    </w:lvl>
    <w:lvl w:ilvl="4" w:tplc="C56A2B1A" w:tentative="1">
      <w:start w:val="1"/>
      <w:numFmt w:val="bullet"/>
      <w:lvlText w:val="•"/>
      <w:lvlJc w:val="left"/>
      <w:pPr>
        <w:tabs>
          <w:tab w:val="num" w:pos="3600"/>
        </w:tabs>
        <w:ind w:left="3600" w:hanging="360"/>
      </w:pPr>
      <w:rPr>
        <w:rFonts w:ascii="Arial" w:hAnsi="Arial" w:hint="default"/>
      </w:rPr>
    </w:lvl>
    <w:lvl w:ilvl="5" w:tplc="F7982ACA" w:tentative="1">
      <w:start w:val="1"/>
      <w:numFmt w:val="bullet"/>
      <w:lvlText w:val="•"/>
      <w:lvlJc w:val="left"/>
      <w:pPr>
        <w:tabs>
          <w:tab w:val="num" w:pos="4320"/>
        </w:tabs>
        <w:ind w:left="4320" w:hanging="360"/>
      </w:pPr>
      <w:rPr>
        <w:rFonts w:ascii="Arial" w:hAnsi="Arial" w:hint="default"/>
      </w:rPr>
    </w:lvl>
    <w:lvl w:ilvl="6" w:tplc="FF7CCBB8" w:tentative="1">
      <w:start w:val="1"/>
      <w:numFmt w:val="bullet"/>
      <w:lvlText w:val="•"/>
      <w:lvlJc w:val="left"/>
      <w:pPr>
        <w:tabs>
          <w:tab w:val="num" w:pos="5040"/>
        </w:tabs>
        <w:ind w:left="5040" w:hanging="360"/>
      </w:pPr>
      <w:rPr>
        <w:rFonts w:ascii="Arial" w:hAnsi="Arial" w:hint="default"/>
      </w:rPr>
    </w:lvl>
    <w:lvl w:ilvl="7" w:tplc="C54699DC" w:tentative="1">
      <w:start w:val="1"/>
      <w:numFmt w:val="bullet"/>
      <w:lvlText w:val="•"/>
      <w:lvlJc w:val="left"/>
      <w:pPr>
        <w:tabs>
          <w:tab w:val="num" w:pos="5760"/>
        </w:tabs>
        <w:ind w:left="5760" w:hanging="360"/>
      </w:pPr>
      <w:rPr>
        <w:rFonts w:ascii="Arial" w:hAnsi="Arial" w:hint="default"/>
      </w:rPr>
    </w:lvl>
    <w:lvl w:ilvl="8" w:tplc="068A43F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A801AE4"/>
    <w:multiLevelType w:val="multilevel"/>
    <w:tmpl w:val="B42EBF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583F53"/>
    <w:multiLevelType w:val="multilevel"/>
    <w:tmpl w:val="275EC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D144A6"/>
    <w:multiLevelType w:val="multilevel"/>
    <w:tmpl w:val="AE882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02418F"/>
    <w:multiLevelType w:val="multilevel"/>
    <w:tmpl w:val="8F90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9B0CF2"/>
    <w:multiLevelType w:val="multilevel"/>
    <w:tmpl w:val="C9F4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485497"/>
    <w:multiLevelType w:val="multilevel"/>
    <w:tmpl w:val="E152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4855BA"/>
    <w:multiLevelType w:val="multilevel"/>
    <w:tmpl w:val="1774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8215F3"/>
    <w:multiLevelType w:val="multilevel"/>
    <w:tmpl w:val="927A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D80A10"/>
    <w:multiLevelType w:val="multilevel"/>
    <w:tmpl w:val="7F7E6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992826"/>
    <w:multiLevelType w:val="multilevel"/>
    <w:tmpl w:val="020AA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3712032">
    <w:abstractNumId w:val="5"/>
  </w:num>
  <w:num w:numId="2" w16cid:durableId="1852911956">
    <w:abstractNumId w:val="13"/>
  </w:num>
  <w:num w:numId="3" w16cid:durableId="305014428">
    <w:abstractNumId w:val="2"/>
  </w:num>
  <w:num w:numId="4" w16cid:durableId="1290549213">
    <w:abstractNumId w:val="14"/>
  </w:num>
  <w:num w:numId="5" w16cid:durableId="1954550653">
    <w:abstractNumId w:val="6"/>
  </w:num>
  <w:num w:numId="6" w16cid:durableId="1786120582">
    <w:abstractNumId w:val="7"/>
  </w:num>
  <w:num w:numId="7" w16cid:durableId="1066806116">
    <w:abstractNumId w:val="0"/>
  </w:num>
  <w:num w:numId="8" w16cid:durableId="1546211093">
    <w:abstractNumId w:val="12"/>
  </w:num>
  <w:num w:numId="9" w16cid:durableId="1627002946">
    <w:abstractNumId w:val="1"/>
  </w:num>
  <w:num w:numId="10" w16cid:durableId="1177967291">
    <w:abstractNumId w:val="4"/>
  </w:num>
  <w:num w:numId="11" w16cid:durableId="1449855185">
    <w:abstractNumId w:val="3"/>
  </w:num>
  <w:num w:numId="12" w16cid:durableId="676349995">
    <w:abstractNumId w:val="11"/>
  </w:num>
  <w:num w:numId="13" w16cid:durableId="1046371834">
    <w:abstractNumId w:val="8"/>
  </w:num>
  <w:num w:numId="14" w16cid:durableId="1465925734">
    <w:abstractNumId w:val="10"/>
  </w:num>
  <w:num w:numId="15" w16cid:durableId="16470091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676"/>
    <w:rsid w:val="00000BC7"/>
    <w:rsid w:val="00005E15"/>
    <w:rsid w:val="000067B2"/>
    <w:rsid w:val="00006F1E"/>
    <w:rsid w:val="0000770C"/>
    <w:rsid w:val="000339F7"/>
    <w:rsid w:val="00034DB3"/>
    <w:rsid w:val="0004291A"/>
    <w:rsid w:val="00042C31"/>
    <w:rsid w:val="00077BA9"/>
    <w:rsid w:val="00082C71"/>
    <w:rsid w:val="0008581B"/>
    <w:rsid w:val="0008721B"/>
    <w:rsid w:val="000B04B5"/>
    <w:rsid w:val="000C0F70"/>
    <w:rsid w:val="000C67D4"/>
    <w:rsid w:val="000C76E3"/>
    <w:rsid w:val="000D0D0A"/>
    <w:rsid w:val="000D40DE"/>
    <w:rsid w:val="000E48D6"/>
    <w:rsid w:val="000F00C3"/>
    <w:rsid w:val="000F15D4"/>
    <w:rsid w:val="000F194C"/>
    <w:rsid w:val="00102450"/>
    <w:rsid w:val="00123C9A"/>
    <w:rsid w:val="00124623"/>
    <w:rsid w:val="00126637"/>
    <w:rsid w:val="00132CE7"/>
    <w:rsid w:val="00134AD0"/>
    <w:rsid w:val="001350DB"/>
    <w:rsid w:val="001360EA"/>
    <w:rsid w:val="00146694"/>
    <w:rsid w:val="00147E29"/>
    <w:rsid w:val="001538D6"/>
    <w:rsid w:val="001563CC"/>
    <w:rsid w:val="00157CD8"/>
    <w:rsid w:val="00157F62"/>
    <w:rsid w:val="001827BA"/>
    <w:rsid w:val="00190C66"/>
    <w:rsid w:val="001958FD"/>
    <w:rsid w:val="00195C58"/>
    <w:rsid w:val="00197498"/>
    <w:rsid w:val="001A06A5"/>
    <w:rsid w:val="001A1124"/>
    <w:rsid w:val="001B071D"/>
    <w:rsid w:val="001B38F0"/>
    <w:rsid w:val="001B5028"/>
    <w:rsid w:val="001B65D0"/>
    <w:rsid w:val="001B6B45"/>
    <w:rsid w:val="001C644E"/>
    <w:rsid w:val="001D0E50"/>
    <w:rsid w:val="001D6F54"/>
    <w:rsid w:val="001F3DF3"/>
    <w:rsid w:val="001F6C22"/>
    <w:rsid w:val="00205AE6"/>
    <w:rsid w:val="002278EC"/>
    <w:rsid w:val="00227D7F"/>
    <w:rsid w:val="002341BF"/>
    <w:rsid w:val="0025101F"/>
    <w:rsid w:val="00252E73"/>
    <w:rsid w:val="00253E59"/>
    <w:rsid w:val="002576FC"/>
    <w:rsid w:val="002617F5"/>
    <w:rsid w:val="00261901"/>
    <w:rsid w:val="00271695"/>
    <w:rsid w:val="00273CDD"/>
    <w:rsid w:val="00274E42"/>
    <w:rsid w:val="00284307"/>
    <w:rsid w:val="00284509"/>
    <w:rsid w:val="00291088"/>
    <w:rsid w:val="00293109"/>
    <w:rsid w:val="002966C4"/>
    <w:rsid w:val="00296FD5"/>
    <w:rsid w:val="002A3EFD"/>
    <w:rsid w:val="002B5CF7"/>
    <w:rsid w:val="002C5642"/>
    <w:rsid w:val="002C7E65"/>
    <w:rsid w:val="002D0069"/>
    <w:rsid w:val="002D23B9"/>
    <w:rsid w:val="002D285B"/>
    <w:rsid w:val="002D30EB"/>
    <w:rsid w:val="002D4F56"/>
    <w:rsid w:val="002D53F1"/>
    <w:rsid w:val="002D669B"/>
    <w:rsid w:val="002D79C3"/>
    <w:rsid w:val="002E0DFA"/>
    <w:rsid w:val="002E40BC"/>
    <w:rsid w:val="002F064F"/>
    <w:rsid w:val="002F7191"/>
    <w:rsid w:val="002F7F43"/>
    <w:rsid w:val="00303502"/>
    <w:rsid w:val="00342D2C"/>
    <w:rsid w:val="00343BD8"/>
    <w:rsid w:val="00344FD4"/>
    <w:rsid w:val="0035033F"/>
    <w:rsid w:val="003544BC"/>
    <w:rsid w:val="003579A9"/>
    <w:rsid w:val="003611B8"/>
    <w:rsid w:val="00371AF9"/>
    <w:rsid w:val="003722E3"/>
    <w:rsid w:val="003745F9"/>
    <w:rsid w:val="00380AD3"/>
    <w:rsid w:val="00384726"/>
    <w:rsid w:val="00387FC2"/>
    <w:rsid w:val="00393382"/>
    <w:rsid w:val="003948D6"/>
    <w:rsid w:val="00397853"/>
    <w:rsid w:val="003A1426"/>
    <w:rsid w:val="003A6E50"/>
    <w:rsid w:val="003B16B2"/>
    <w:rsid w:val="003B5A49"/>
    <w:rsid w:val="003C21CB"/>
    <w:rsid w:val="003D33CA"/>
    <w:rsid w:val="003D49C3"/>
    <w:rsid w:val="003E6DF9"/>
    <w:rsid w:val="003E6EB7"/>
    <w:rsid w:val="003E77A5"/>
    <w:rsid w:val="003F0EA3"/>
    <w:rsid w:val="003F509A"/>
    <w:rsid w:val="003F7191"/>
    <w:rsid w:val="004020A3"/>
    <w:rsid w:val="00403216"/>
    <w:rsid w:val="004035F0"/>
    <w:rsid w:val="00405DFE"/>
    <w:rsid w:val="00414538"/>
    <w:rsid w:val="0041639D"/>
    <w:rsid w:val="00421587"/>
    <w:rsid w:val="00423297"/>
    <w:rsid w:val="00425357"/>
    <w:rsid w:val="00437A75"/>
    <w:rsid w:val="00440371"/>
    <w:rsid w:val="004430AC"/>
    <w:rsid w:val="00445ED2"/>
    <w:rsid w:val="0046106D"/>
    <w:rsid w:val="0046336D"/>
    <w:rsid w:val="00476AB9"/>
    <w:rsid w:val="00476C6A"/>
    <w:rsid w:val="0047773C"/>
    <w:rsid w:val="004825E9"/>
    <w:rsid w:val="00495145"/>
    <w:rsid w:val="004A22EC"/>
    <w:rsid w:val="004B703C"/>
    <w:rsid w:val="004B7CE9"/>
    <w:rsid w:val="004D2104"/>
    <w:rsid w:val="004D40FF"/>
    <w:rsid w:val="004E1E99"/>
    <w:rsid w:val="004E4E58"/>
    <w:rsid w:val="004E5226"/>
    <w:rsid w:val="004E74C5"/>
    <w:rsid w:val="004F12BB"/>
    <w:rsid w:val="0050000E"/>
    <w:rsid w:val="00510E9F"/>
    <w:rsid w:val="005242F3"/>
    <w:rsid w:val="005341C2"/>
    <w:rsid w:val="00534B2C"/>
    <w:rsid w:val="00536110"/>
    <w:rsid w:val="00542427"/>
    <w:rsid w:val="005517E3"/>
    <w:rsid w:val="00556822"/>
    <w:rsid w:val="00561E0B"/>
    <w:rsid w:val="00563A05"/>
    <w:rsid w:val="005643CE"/>
    <w:rsid w:val="0056523B"/>
    <w:rsid w:val="00570042"/>
    <w:rsid w:val="0057171F"/>
    <w:rsid w:val="005842BF"/>
    <w:rsid w:val="00587FAF"/>
    <w:rsid w:val="0059305F"/>
    <w:rsid w:val="00596159"/>
    <w:rsid w:val="005A228E"/>
    <w:rsid w:val="005A7CD5"/>
    <w:rsid w:val="005C003E"/>
    <w:rsid w:val="005D04D9"/>
    <w:rsid w:val="005D4159"/>
    <w:rsid w:val="005E48BA"/>
    <w:rsid w:val="005E5AE0"/>
    <w:rsid w:val="005E70D5"/>
    <w:rsid w:val="005F513A"/>
    <w:rsid w:val="00600A57"/>
    <w:rsid w:val="00601D39"/>
    <w:rsid w:val="00617AF3"/>
    <w:rsid w:val="006246FF"/>
    <w:rsid w:val="00635F33"/>
    <w:rsid w:val="00637AA5"/>
    <w:rsid w:val="00645D4D"/>
    <w:rsid w:val="0065166F"/>
    <w:rsid w:val="0065377F"/>
    <w:rsid w:val="00653EFA"/>
    <w:rsid w:val="00655AC9"/>
    <w:rsid w:val="00656992"/>
    <w:rsid w:val="006608EC"/>
    <w:rsid w:val="006633C1"/>
    <w:rsid w:val="00671B32"/>
    <w:rsid w:val="00684FBC"/>
    <w:rsid w:val="00691134"/>
    <w:rsid w:val="00691C6A"/>
    <w:rsid w:val="00692012"/>
    <w:rsid w:val="006A25A9"/>
    <w:rsid w:val="006A4541"/>
    <w:rsid w:val="006A5CD3"/>
    <w:rsid w:val="006B34F4"/>
    <w:rsid w:val="006C0749"/>
    <w:rsid w:val="006C3E3D"/>
    <w:rsid w:val="006D2676"/>
    <w:rsid w:val="006D6D3B"/>
    <w:rsid w:val="006E0036"/>
    <w:rsid w:val="00705E12"/>
    <w:rsid w:val="00706BEB"/>
    <w:rsid w:val="00707244"/>
    <w:rsid w:val="00707F31"/>
    <w:rsid w:val="0071521C"/>
    <w:rsid w:val="00734A67"/>
    <w:rsid w:val="007416DA"/>
    <w:rsid w:val="00741B6B"/>
    <w:rsid w:val="00741D91"/>
    <w:rsid w:val="0074392A"/>
    <w:rsid w:val="00751B8A"/>
    <w:rsid w:val="00756011"/>
    <w:rsid w:val="00763D3F"/>
    <w:rsid w:val="00770999"/>
    <w:rsid w:val="00771460"/>
    <w:rsid w:val="00775BFF"/>
    <w:rsid w:val="00776BD5"/>
    <w:rsid w:val="00780984"/>
    <w:rsid w:val="00781C5C"/>
    <w:rsid w:val="00787E0C"/>
    <w:rsid w:val="00790DBB"/>
    <w:rsid w:val="007A0E7C"/>
    <w:rsid w:val="007A67E4"/>
    <w:rsid w:val="007A7775"/>
    <w:rsid w:val="007B2EE4"/>
    <w:rsid w:val="007B399F"/>
    <w:rsid w:val="007B3B9C"/>
    <w:rsid w:val="007B4021"/>
    <w:rsid w:val="007B4953"/>
    <w:rsid w:val="007B60CF"/>
    <w:rsid w:val="007C1540"/>
    <w:rsid w:val="007C15F3"/>
    <w:rsid w:val="007C24F4"/>
    <w:rsid w:val="007C4AC1"/>
    <w:rsid w:val="007C73C2"/>
    <w:rsid w:val="007D01E4"/>
    <w:rsid w:val="007D26BB"/>
    <w:rsid w:val="007D2EEA"/>
    <w:rsid w:val="007D5C11"/>
    <w:rsid w:val="007D5FA9"/>
    <w:rsid w:val="007D641B"/>
    <w:rsid w:val="007D6546"/>
    <w:rsid w:val="007E0237"/>
    <w:rsid w:val="007E33A8"/>
    <w:rsid w:val="007E6031"/>
    <w:rsid w:val="007F0118"/>
    <w:rsid w:val="007F4874"/>
    <w:rsid w:val="007F5E56"/>
    <w:rsid w:val="008006E2"/>
    <w:rsid w:val="0080140C"/>
    <w:rsid w:val="00803F26"/>
    <w:rsid w:val="00804D82"/>
    <w:rsid w:val="00810DF9"/>
    <w:rsid w:val="0082368F"/>
    <w:rsid w:val="008240E6"/>
    <w:rsid w:val="00827336"/>
    <w:rsid w:val="00832670"/>
    <w:rsid w:val="00833F77"/>
    <w:rsid w:val="00843DFF"/>
    <w:rsid w:val="00845401"/>
    <w:rsid w:val="0085422F"/>
    <w:rsid w:val="00861BC4"/>
    <w:rsid w:val="00866CCC"/>
    <w:rsid w:val="008676C5"/>
    <w:rsid w:val="008678CA"/>
    <w:rsid w:val="00870031"/>
    <w:rsid w:val="008839FB"/>
    <w:rsid w:val="00885132"/>
    <w:rsid w:val="00892018"/>
    <w:rsid w:val="00892047"/>
    <w:rsid w:val="00893C28"/>
    <w:rsid w:val="008A12B3"/>
    <w:rsid w:val="008A39E8"/>
    <w:rsid w:val="008A6095"/>
    <w:rsid w:val="008B4BD0"/>
    <w:rsid w:val="008C35B1"/>
    <w:rsid w:val="008C3722"/>
    <w:rsid w:val="008C3B51"/>
    <w:rsid w:val="008C7248"/>
    <w:rsid w:val="008C752A"/>
    <w:rsid w:val="008D1367"/>
    <w:rsid w:val="008D3964"/>
    <w:rsid w:val="008E17E2"/>
    <w:rsid w:val="008E186B"/>
    <w:rsid w:val="008E31B4"/>
    <w:rsid w:val="008F59A0"/>
    <w:rsid w:val="00903718"/>
    <w:rsid w:val="00904E18"/>
    <w:rsid w:val="00915DDF"/>
    <w:rsid w:val="00921CAD"/>
    <w:rsid w:val="00924C70"/>
    <w:rsid w:val="00925832"/>
    <w:rsid w:val="00927861"/>
    <w:rsid w:val="00936498"/>
    <w:rsid w:val="009365D4"/>
    <w:rsid w:val="009374D7"/>
    <w:rsid w:val="009410F0"/>
    <w:rsid w:val="009525D9"/>
    <w:rsid w:val="00953594"/>
    <w:rsid w:val="00957483"/>
    <w:rsid w:val="0096397C"/>
    <w:rsid w:val="00967483"/>
    <w:rsid w:val="00972286"/>
    <w:rsid w:val="00977C11"/>
    <w:rsid w:val="00977DB0"/>
    <w:rsid w:val="00983C0D"/>
    <w:rsid w:val="00983D05"/>
    <w:rsid w:val="00984C12"/>
    <w:rsid w:val="00984C52"/>
    <w:rsid w:val="00992CE6"/>
    <w:rsid w:val="00997608"/>
    <w:rsid w:val="009A6DFB"/>
    <w:rsid w:val="009A72AA"/>
    <w:rsid w:val="009B21F9"/>
    <w:rsid w:val="009B2A80"/>
    <w:rsid w:val="009B2AAB"/>
    <w:rsid w:val="009C1502"/>
    <w:rsid w:val="009C42D6"/>
    <w:rsid w:val="009C776D"/>
    <w:rsid w:val="009D175A"/>
    <w:rsid w:val="009D2A45"/>
    <w:rsid w:val="009D35F9"/>
    <w:rsid w:val="009D65C3"/>
    <w:rsid w:val="009D76F3"/>
    <w:rsid w:val="009E0B26"/>
    <w:rsid w:val="009F7280"/>
    <w:rsid w:val="00A008DE"/>
    <w:rsid w:val="00A02AD3"/>
    <w:rsid w:val="00A03E2F"/>
    <w:rsid w:val="00A062D7"/>
    <w:rsid w:val="00A10551"/>
    <w:rsid w:val="00A12729"/>
    <w:rsid w:val="00A24781"/>
    <w:rsid w:val="00A32110"/>
    <w:rsid w:val="00A34BBD"/>
    <w:rsid w:val="00A44632"/>
    <w:rsid w:val="00A47BB2"/>
    <w:rsid w:val="00A52091"/>
    <w:rsid w:val="00A64ACB"/>
    <w:rsid w:val="00A72054"/>
    <w:rsid w:val="00A76D59"/>
    <w:rsid w:val="00A8055D"/>
    <w:rsid w:val="00A834D0"/>
    <w:rsid w:val="00A9035E"/>
    <w:rsid w:val="00A90656"/>
    <w:rsid w:val="00A91F45"/>
    <w:rsid w:val="00A933E1"/>
    <w:rsid w:val="00A93947"/>
    <w:rsid w:val="00A95345"/>
    <w:rsid w:val="00AA2033"/>
    <w:rsid w:val="00AA6EA6"/>
    <w:rsid w:val="00AB6D80"/>
    <w:rsid w:val="00AB70F6"/>
    <w:rsid w:val="00AC24EA"/>
    <w:rsid w:val="00AD178C"/>
    <w:rsid w:val="00AD32D8"/>
    <w:rsid w:val="00AE33CA"/>
    <w:rsid w:val="00AF2D4E"/>
    <w:rsid w:val="00AF397E"/>
    <w:rsid w:val="00B0075E"/>
    <w:rsid w:val="00B0182C"/>
    <w:rsid w:val="00B074C9"/>
    <w:rsid w:val="00B1411A"/>
    <w:rsid w:val="00B14676"/>
    <w:rsid w:val="00B44FDD"/>
    <w:rsid w:val="00B501B5"/>
    <w:rsid w:val="00B54641"/>
    <w:rsid w:val="00B5476B"/>
    <w:rsid w:val="00B569EB"/>
    <w:rsid w:val="00B640C9"/>
    <w:rsid w:val="00B73724"/>
    <w:rsid w:val="00B85E46"/>
    <w:rsid w:val="00B93ACF"/>
    <w:rsid w:val="00B97ED0"/>
    <w:rsid w:val="00BA0B38"/>
    <w:rsid w:val="00BA2364"/>
    <w:rsid w:val="00BB34AE"/>
    <w:rsid w:val="00BB4DBC"/>
    <w:rsid w:val="00BB595C"/>
    <w:rsid w:val="00BD5645"/>
    <w:rsid w:val="00BE0B9E"/>
    <w:rsid w:val="00BF1992"/>
    <w:rsid w:val="00C004B3"/>
    <w:rsid w:val="00C06F2C"/>
    <w:rsid w:val="00C12BEA"/>
    <w:rsid w:val="00C2045D"/>
    <w:rsid w:val="00C33433"/>
    <w:rsid w:val="00C33868"/>
    <w:rsid w:val="00C40CDA"/>
    <w:rsid w:val="00C46CAD"/>
    <w:rsid w:val="00C51EF9"/>
    <w:rsid w:val="00C57888"/>
    <w:rsid w:val="00C76693"/>
    <w:rsid w:val="00CB2A27"/>
    <w:rsid w:val="00CB3C2B"/>
    <w:rsid w:val="00CC0109"/>
    <w:rsid w:val="00CC6BD2"/>
    <w:rsid w:val="00CD29EC"/>
    <w:rsid w:val="00CE124E"/>
    <w:rsid w:val="00CE2817"/>
    <w:rsid w:val="00CE64C1"/>
    <w:rsid w:val="00CF1186"/>
    <w:rsid w:val="00CF1B59"/>
    <w:rsid w:val="00CF5731"/>
    <w:rsid w:val="00D07BB2"/>
    <w:rsid w:val="00D12518"/>
    <w:rsid w:val="00D14F4F"/>
    <w:rsid w:val="00D23183"/>
    <w:rsid w:val="00D24F50"/>
    <w:rsid w:val="00D26CFC"/>
    <w:rsid w:val="00D3448B"/>
    <w:rsid w:val="00D515E0"/>
    <w:rsid w:val="00D710F6"/>
    <w:rsid w:val="00D72AA5"/>
    <w:rsid w:val="00D73DAA"/>
    <w:rsid w:val="00D75424"/>
    <w:rsid w:val="00D85021"/>
    <w:rsid w:val="00D9251F"/>
    <w:rsid w:val="00D93DD8"/>
    <w:rsid w:val="00D965FE"/>
    <w:rsid w:val="00D9760A"/>
    <w:rsid w:val="00DA680C"/>
    <w:rsid w:val="00DA7852"/>
    <w:rsid w:val="00DB1298"/>
    <w:rsid w:val="00DC0493"/>
    <w:rsid w:val="00DC5043"/>
    <w:rsid w:val="00DC6679"/>
    <w:rsid w:val="00DE2B1C"/>
    <w:rsid w:val="00DE5ECF"/>
    <w:rsid w:val="00DF4371"/>
    <w:rsid w:val="00E01D2D"/>
    <w:rsid w:val="00E15CA9"/>
    <w:rsid w:val="00E15D2F"/>
    <w:rsid w:val="00E16A9D"/>
    <w:rsid w:val="00E23DF9"/>
    <w:rsid w:val="00E251B8"/>
    <w:rsid w:val="00E26AC3"/>
    <w:rsid w:val="00E26EC6"/>
    <w:rsid w:val="00E27B2A"/>
    <w:rsid w:val="00E47740"/>
    <w:rsid w:val="00E5111A"/>
    <w:rsid w:val="00E53693"/>
    <w:rsid w:val="00E75FD9"/>
    <w:rsid w:val="00E81E30"/>
    <w:rsid w:val="00E85C9F"/>
    <w:rsid w:val="00E86F55"/>
    <w:rsid w:val="00E870B7"/>
    <w:rsid w:val="00E91736"/>
    <w:rsid w:val="00E95141"/>
    <w:rsid w:val="00E9587B"/>
    <w:rsid w:val="00EA6F06"/>
    <w:rsid w:val="00EB4CF7"/>
    <w:rsid w:val="00EB53CC"/>
    <w:rsid w:val="00EB62A0"/>
    <w:rsid w:val="00EC01DF"/>
    <w:rsid w:val="00ED05B1"/>
    <w:rsid w:val="00ED26E3"/>
    <w:rsid w:val="00EE316B"/>
    <w:rsid w:val="00EE66F4"/>
    <w:rsid w:val="00EF04AF"/>
    <w:rsid w:val="00EF099A"/>
    <w:rsid w:val="00EF51BC"/>
    <w:rsid w:val="00EF62E9"/>
    <w:rsid w:val="00F012B8"/>
    <w:rsid w:val="00F105B4"/>
    <w:rsid w:val="00F1448E"/>
    <w:rsid w:val="00F1659A"/>
    <w:rsid w:val="00F16B57"/>
    <w:rsid w:val="00F16E09"/>
    <w:rsid w:val="00F2343B"/>
    <w:rsid w:val="00F26D02"/>
    <w:rsid w:val="00F3013A"/>
    <w:rsid w:val="00F3260A"/>
    <w:rsid w:val="00F34201"/>
    <w:rsid w:val="00F46A00"/>
    <w:rsid w:val="00F5540F"/>
    <w:rsid w:val="00F6204A"/>
    <w:rsid w:val="00F6214A"/>
    <w:rsid w:val="00F62638"/>
    <w:rsid w:val="00F660FB"/>
    <w:rsid w:val="00F67097"/>
    <w:rsid w:val="00F70C0B"/>
    <w:rsid w:val="00F71777"/>
    <w:rsid w:val="00F808B1"/>
    <w:rsid w:val="00F86C6A"/>
    <w:rsid w:val="00F95215"/>
    <w:rsid w:val="00F96F30"/>
    <w:rsid w:val="00FA064A"/>
    <w:rsid w:val="00FA1FF8"/>
    <w:rsid w:val="00FA741E"/>
    <w:rsid w:val="00FB22B4"/>
    <w:rsid w:val="00FB4F48"/>
    <w:rsid w:val="00FD2D60"/>
    <w:rsid w:val="00FD2FEE"/>
    <w:rsid w:val="00FD74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B031"/>
  <w15:chartTrackingRefBased/>
  <w15:docId w15:val="{10E8813B-9C9C-D84C-B5A1-17C2FFCE7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66F"/>
  </w:style>
  <w:style w:type="paragraph" w:styleId="Heading1">
    <w:name w:val="heading 1"/>
    <w:basedOn w:val="Normal"/>
    <w:next w:val="Normal"/>
    <w:link w:val="Heading1Char"/>
    <w:uiPriority w:val="9"/>
    <w:qFormat/>
    <w:rsid w:val="006D2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D2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D2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6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6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6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6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D2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D2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676"/>
    <w:rPr>
      <w:rFonts w:eastAsiaTheme="majorEastAsia" w:cstheme="majorBidi"/>
      <w:color w:val="272727" w:themeColor="text1" w:themeTint="D8"/>
    </w:rPr>
  </w:style>
  <w:style w:type="paragraph" w:styleId="Title">
    <w:name w:val="Title"/>
    <w:basedOn w:val="Normal"/>
    <w:next w:val="Normal"/>
    <w:link w:val="TitleChar"/>
    <w:uiPriority w:val="10"/>
    <w:qFormat/>
    <w:rsid w:val="006D26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67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6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2676"/>
    <w:rPr>
      <w:i/>
      <w:iCs/>
      <w:color w:val="404040" w:themeColor="text1" w:themeTint="BF"/>
    </w:rPr>
  </w:style>
  <w:style w:type="paragraph" w:styleId="ListParagraph">
    <w:name w:val="List Paragraph"/>
    <w:basedOn w:val="Normal"/>
    <w:uiPriority w:val="34"/>
    <w:qFormat/>
    <w:rsid w:val="006D2676"/>
    <w:pPr>
      <w:ind w:left="720"/>
      <w:contextualSpacing/>
    </w:pPr>
  </w:style>
  <w:style w:type="character" w:styleId="IntenseEmphasis">
    <w:name w:val="Intense Emphasis"/>
    <w:basedOn w:val="DefaultParagraphFont"/>
    <w:uiPriority w:val="21"/>
    <w:qFormat/>
    <w:rsid w:val="006D2676"/>
    <w:rPr>
      <w:i/>
      <w:iCs/>
      <w:color w:val="0F4761" w:themeColor="accent1" w:themeShade="BF"/>
    </w:rPr>
  </w:style>
  <w:style w:type="paragraph" w:styleId="IntenseQuote">
    <w:name w:val="Intense Quote"/>
    <w:basedOn w:val="Normal"/>
    <w:next w:val="Normal"/>
    <w:link w:val="IntenseQuoteChar"/>
    <w:uiPriority w:val="30"/>
    <w:qFormat/>
    <w:rsid w:val="006D2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676"/>
    <w:rPr>
      <w:i/>
      <w:iCs/>
      <w:color w:val="0F4761" w:themeColor="accent1" w:themeShade="BF"/>
    </w:rPr>
  </w:style>
  <w:style w:type="character" w:styleId="IntenseReference">
    <w:name w:val="Intense Reference"/>
    <w:basedOn w:val="DefaultParagraphFont"/>
    <w:uiPriority w:val="32"/>
    <w:qFormat/>
    <w:rsid w:val="006D2676"/>
    <w:rPr>
      <w:b/>
      <w:bCs/>
      <w:smallCaps/>
      <w:color w:val="0F4761" w:themeColor="accent1" w:themeShade="BF"/>
      <w:spacing w:val="5"/>
    </w:rPr>
  </w:style>
  <w:style w:type="table" w:styleId="TableGrid">
    <w:name w:val="Table Grid"/>
    <w:basedOn w:val="TableNormal"/>
    <w:uiPriority w:val="39"/>
    <w:rsid w:val="00F16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34DB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034DB3"/>
    <w:rPr>
      <w:i/>
      <w:iCs/>
    </w:rPr>
  </w:style>
  <w:style w:type="character" w:styleId="Strong">
    <w:name w:val="Strong"/>
    <w:basedOn w:val="DefaultParagraphFont"/>
    <w:uiPriority w:val="22"/>
    <w:qFormat/>
    <w:rsid w:val="00034DB3"/>
    <w:rPr>
      <w:b/>
      <w:bCs/>
    </w:rPr>
  </w:style>
  <w:style w:type="paragraph" w:styleId="z-TopofForm">
    <w:name w:val="HTML Top of Form"/>
    <w:basedOn w:val="Normal"/>
    <w:next w:val="Normal"/>
    <w:link w:val="z-TopofFormChar"/>
    <w:hidden/>
    <w:uiPriority w:val="99"/>
    <w:semiHidden/>
    <w:unhideWhenUsed/>
    <w:rsid w:val="00AA6EA6"/>
    <w:pPr>
      <w:pBdr>
        <w:bottom w:val="single" w:sz="6" w:space="1" w:color="auto"/>
      </w:pBdr>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AA6EA6"/>
    <w:rPr>
      <w:rFonts w:ascii="Arial" w:eastAsia="Times New Roman" w:hAnsi="Arial" w:cs="Arial"/>
      <w:vanish/>
      <w:kern w:val="0"/>
      <w:sz w:val="16"/>
      <w:szCs w:val="16"/>
      <w:lang w:eastAsia="en-GB"/>
      <w14:ligatures w14:val="none"/>
    </w:rPr>
  </w:style>
  <w:style w:type="paragraph" w:customStyle="1" w:styleId="placeholder">
    <w:name w:val="placeholder"/>
    <w:basedOn w:val="Normal"/>
    <w:rsid w:val="00AA6EA6"/>
    <w:pPr>
      <w:spacing w:before="100" w:beforeAutospacing="1" w:after="100" w:afterAutospacing="1"/>
    </w:pPr>
    <w:rPr>
      <w:rFonts w:ascii="Times New Roman" w:eastAsia="Times New Roman" w:hAnsi="Times New Roman" w:cs="Times New Roman"/>
      <w:kern w:val="0"/>
      <w:lang w:eastAsia="en-GB"/>
      <w14:ligatures w14:val="none"/>
    </w:rPr>
  </w:style>
  <w:style w:type="paragraph" w:styleId="z-BottomofForm">
    <w:name w:val="HTML Bottom of Form"/>
    <w:basedOn w:val="Normal"/>
    <w:next w:val="Normal"/>
    <w:link w:val="z-BottomofFormChar"/>
    <w:hidden/>
    <w:uiPriority w:val="99"/>
    <w:semiHidden/>
    <w:unhideWhenUsed/>
    <w:rsid w:val="00AA6EA6"/>
    <w:pPr>
      <w:pBdr>
        <w:top w:val="single" w:sz="6" w:space="1" w:color="auto"/>
      </w:pBdr>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semiHidden/>
    <w:rsid w:val="00AA6EA6"/>
    <w:rPr>
      <w:rFonts w:ascii="Arial" w:eastAsia="Times New Roman" w:hAnsi="Arial" w:cs="Arial"/>
      <w:vanish/>
      <w:kern w:val="0"/>
      <w:sz w:val="16"/>
      <w:szCs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mrc.gov.au/about-us/publications/australian-code-responsible-conduct-research-2018" TargetMode="External"/><Relationship Id="rId5" Type="http://schemas.openxmlformats.org/officeDocument/2006/relationships/hyperlink" Target="https://www.nhmrc.gov.au/guidelines-publications/r4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1961</Words>
  <Characters>11182</Characters>
  <Application>Microsoft Office Word</Application>
  <DocSecurity>0</DocSecurity>
  <Lines>93</Lines>
  <Paragraphs>26</Paragraphs>
  <ScaleCrop>false</ScaleCrop>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Clarke</dc:creator>
  <cp:keywords/>
  <dc:description/>
  <cp:lastModifiedBy>Andrea Clarke</cp:lastModifiedBy>
  <cp:revision>4</cp:revision>
  <dcterms:created xsi:type="dcterms:W3CDTF">2025-11-05T19:01:00Z</dcterms:created>
  <dcterms:modified xsi:type="dcterms:W3CDTF">2025-11-05T19:58:00Z</dcterms:modified>
</cp:coreProperties>
</file>